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276FD">
      <w:pPr>
        <w:rPr>
          <w:rFonts w:hint="eastAsia" w:ascii="仿宋_GB2312" w:hAnsi="仿宋_GB2312" w:eastAsia="仿宋_GB2312" w:cs="仿宋_GB2312"/>
          <w:b/>
          <w:bCs/>
          <w:sz w:val="32"/>
          <w:szCs w:val="32"/>
          <w:lang w:eastAsia="zh-CN"/>
        </w:rPr>
      </w:pPr>
      <w:bookmarkStart w:id="0" w:name="_Hlk531337368"/>
      <w:r>
        <w:rPr>
          <w:rFonts w:hint="eastAsia" w:ascii="仿宋_GB2312" w:hAnsi="仿宋_GB2312" w:eastAsia="仿宋_GB2312" w:cs="仿宋_GB2312"/>
          <w:b/>
          <w:bCs/>
          <w:sz w:val="32"/>
          <w:szCs w:val="32"/>
          <w:lang w:eastAsia="zh-CN"/>
        </w:rPr>
        <w:t>附件2：评标办法</w:t>
      </w:r>
      <w:bookmarkEnd w:id="0"/>
    </w:p>
    <w:p w14:paraId="34EB9E3B">
      <w:pPr>
        <w:jc w:val="center"/>
        <w:rPr>
          <w:rFonts w:hint="eastAsia" w:ascii="仿宋_GB2312" w:hAnsi="仿宋_GB2312" w:eastAsia="仿宋_GB2312" w:cs="仿宋_GB2312"/>
          <w:sz w:val="32"/>
          <w:szCs w:val="32"/>
        </w:rPr>
      </w:pPr>
      <w:bookmarkStart w:id="1" w:name="_Toc85193225"/>
      <w:r>
        <w:rPr>
          <w:rFonts w:hint="eastAsia" w:ascii="仿宋_GB2312" w:hAnsi="仿宋_GB2312" w:eastAsia="仿宋_GB2312" w:cs="仿宋_GB2312"/>
          <w:sz w:val="32"/>
          <w:szCs w:val="32"/>
        </w:rPr>
        <w:t>评标办法前附表</w:t>
      </w:r>
      <w:bookmarkEnd w:id="1"/>
      <w:bookmarkStart w:id="2" w:name="OLE_LINK4"/>
    </w:p>
    <w:tbl>
      <w:tblPr>
        <w:tblStyle w:val="3"/>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2B62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vAlign w:val="center"/>
          </w:tcPr>
          <w:p w14:paraId="4E21FA80">
            <w:pPr>
              <w:rPr>
                <w:rFonts w:hint="eastAsia" w:ascii="仿宋_GB2312" w:hAnsi="仿宋_GB2312" w:eastAsia="仿宋_GB2312" w:cs="仿宋_GB2312"/>
                <w:sz w:val="32"/>
                <w:szCs w:val="32"/>
                <w:lang w:eastAsia="zh-CN"/>
              </w:rPr>
            </w:pPr>
            <w:bookmarkStart w:id="3" w:name="_Hlk2518807"/>
            <w:bookmarkStart w:id="4" w:name="OLE_LINK12"/>
            <w:r>
              <w:rPr>
                <w:rFonts w:hint="eastAsia" w:ascii="仿宋_GB2312" w:hAnsi="仿宋_GB2312" w:eastAsia="仿宋_GB2312" w:cs="仿宋_GB2312"/>
                <w:sz w:val="32"/>
                <w:szCs w:val="32"/>
                <w:lang w:eastAsia="zh-CN"/>
              </w:rPr>
              <w:t>条款号</w:t>
            </w:r>
          </w:p>
        </w:tc>
        <w:tc>
          <w:tcPr>
            <w:tcW w:w="7197" w:type="dxa"/>
            <w:vAlign w:val="center"/>
          </w:tcPr>
          <w:p w14:paraId="0893DBC4">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评审因素与标准</w:t>
            </w:r>
          </w:p>
        </w:tc>
      </w:tr>
      <w:tr w14:paraId="713A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810" w:hRule="atLeast"/>
          <w:jc w:val="center"/>
        </w:trPr>
        <w:tc>
          <w:tcPr>
            <w:tcW w:w="1143" w:type="dxa"/>
            <w:vAlign w:val="center"/>
          </w:tcPr>
          <w:p w14:paraId="0340121C">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w:t>
            </w:r>
          </w:p>
        </w:tc>
        <w:tc>
          <w:tcPr>
            <w:tcW w:w="1317" w:type="dxa"/>
            <w:vAlign w:val="center"/>
          </w:tcPr>
          <w:p w14:paraId="4C036B2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评标办法</w:t>
            </w:r>
          </w:p>
        </w:tc>
        <w:tc>
          <w:tcPr>
            <w:tcW w:w="7197" w:type="dxa"/>
            <w:vAlign w:val="center"/>
          </w:tcPr>
          <w:p w14:paraId="3A328CBD">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本次评标采用技术评分最低标价法，双信封形式。</w:t>
            </w:r>
          </w:p>
          <w:p w14:paraId="404E09C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评标委员会对满足招标文件实质性要求的投标文件第一个信封，按照本章第2.2 款规定的评分标准进行打分，并按综合得分由高到低顺序确定前3 名投标人进入第二个信封评审。若综合得分相同，以技术部分得分高的投标人优先；技术部分得分也相同的，以满足资格审查条件（业绩最低要求）累计合同金额高的投标人优先。未通过第一信封评审或综合得分未进入前3名的投标人，其第二信封在整个评标期间不再开封，不随任何因素发生变化。</w:t>
            </w:r>
          </w:p>
          <w:p w14:paraId="0CD9C5F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评标委员会对投标文件第二个信封进行评审，并按评标价由低到高的顺序，向招标人推荐1-3 名中标候选人。</w:t>
            </w:r>
          </w:p>
          <w:p w14:paraId="198CC185">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评标价相等时，评标委员会依次按照以下优先顺序推荐中标候选人：</w:t>
            </w:r>
          </w:p>
          <w:p w14:paraId="47E8B98C">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（1）第一个信封技术部分得分较高的投标人优先；</w:t>
            </w:r>
          </w:p>
          <w:p w14:paraId="46230C78">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（2）满足资格审查条件（业绩最低要求）累计合同金额高的投标人</w:t>
            </w:r>
          </w:p>
          <w:p w14:paraId="49A244E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优先；</w:t>
            </w:r>
          </w:p>
        </w:tc>
      </w:tr>
      <w:tr w14:paraId="3AC2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vAlign w:val="center"/>
          </w:tcPr>
          <w:p w14:paraId="7100DB99">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2.1.1</w:t>
            </w:r>
          </w:p>
          <w:p w14:paraId="48F55F90">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2.1.3</w:t>
            </w:r>
          </w:p>
        </w:tc>
        <w:tc>
          <w:tcPr>
            <w:tcW w:w="1317" w:type="dxa"/>
            <w:vAlign w:val="center"/>
          </w:tcPr>
          <w:p w14:paraId="085FEF35">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形式评审与响应性评审标准</w:t>
            </w:r>
          </w:p>
        </w:tc>
        <w:tc>
          <w:tcPr>
            <w:tcW w:w="7197" w:type="dxa"/>
            <w:vAlign w:val="center"/>
          </w:tcPr>
          <w:p w14:paraId="63687A33">
            <w:pPr>
              <w:rPr>
                <w:rFonts w:hint="eastAsia" w:ascii="仿宋_GB2312" w:hAnsi="仿宋_GB2312" w:eastAsia="仿宋_GB2312" w:cs="仿宋_GB2312"/>
                <w:sz w:val="32"/>
                <w:szCs w:val="32"/>
                <w:lang w:eastAsia="zh-CN"/>
              </w:rPr>
            </w:pPr>
          </w:p>
          <w:p w14:paraId="3A24EE5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第一信封（商务及技术文件）评审标准：</w:t>
            </w:r>
          </w:p>
          <w:p w14:paraId="35D8441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（1）投标文件按照招标文件规定的格式、内容填写，字迹清晰可辨：</w:t>
            </w:r>
          </w:p>
          <w:p w14:paraId="44B900F2">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a.投标函按照招标文件规定填报了招标人名称、项目名称、补遗书编号（如有）、交货地点、交货期和质量标准；</w:t>
            </w:r>
          </w:p>
          <w:p w14:paraId="08660E8C">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b.投标文件组成齐全完整，内容均按规定填写；</w:t>
            </w:r>
          </w:p>
          <w:p w14:paraId="4E48C10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（2）投标文件上法定代表人或其委托代理人的签字、投标人的单位章盖章齐全，符合招标文件规定：</w:t>
            </w:r>
          </w:p>
          <w:p w14:paraId="58226E9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（3）投标人按照招标文件的规定提供了投标保证金，满足投标人须知3.4.1 规定。</w:t>
            </w:r>
          </w:p>
          <w:p w14:paraId="3BF9FF35">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（4）投标人法定代表人授权委托代理人签署投标文件的，须提交授权委托书，授权委托书的签字盖章符合招标文件规定。</w:t>
            </w:r>
          </w:p>
          <w:p w14:paraId="00C0785D">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（5）投标人法定代表人亲自签署投标文件的，提供了法定代表人身份证明，法定代表人身份证明的签字盖章符合招标文件规定。</w:t>
            </w:r>
          </w:p>
          <w:p w14:paraId="72D62EAC">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（6）投标人未以联合体形式投标。</w:t>
            </w:r>
          </w:p>
          <w:p w14:paraId="1DC960BE">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（7）投标人未对本项目进行分包。</w:t>
            </w:r>
          </w:p>
          <w:p w14:paraId="5191196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（8）同一投标人未对同一标段提交两个以上不同的投标文件。</w:t>
            </w:r>
          </w:p>
          <w:p w14:paraId="4687C5ED">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（9）投标文件中未出现有关投标报价的内容。</w:t>
            </w:r>
          </w:p>
          <w:p w14:paraId="61C10291">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（10）投标文件载明的招标项目完成期限未超过招标文件规定的时限。</w:t>
            </w:r>
          </w:p>
          <w:p w14:paraId="448C5CF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（11）投标人递交的投标文件与所投标段一致。</w:t>
            </w:r>
          </w:p>
          <w:p w14:paraId="57D7B6A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（12）投标文件对招标文件的实质性要求和条件作出响应。</w:t>
            </w:r>
          </w:p>
          <w:p w14:paraId="09877B6B">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（13）投标文件中投标设备的主要技术指标满足招标文件（供货要求中的条款）的要求，并按照招标文件1.11.3 款规定提供相关材料。</w:t>
            </w:r>
          </w:p>
          <w:p w14:paraId="2D965B50">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（14）权利义务符合招标文件规定：</w:t>
            </w:r>
          </w:p>
          <w:p w14:paraId="7C39E2AD">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a.投标人应接受招标文件规定的风险划分原则，未提出新的风险划分办法；</w:t>
            </w:r>
          </w:p>
          <w:p w14:paraId="53BA062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b.投标人未增加发包人的责任范围，或减少投标人义务；</w:t>
            </w:r>
          </w:p>
          <w:p w14:paraId="228AD10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c.投标人未提出不同的验收、计量、支付办法；</w:t>
            </w:r>
          </w:p>
          <w:p w14:paraId="42819844">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d.投标人对合同纠纷、事故处理办法未提出异议；</w:t>
            </w:r>
          </w:p>
          <w:p w14:paraId="00BB2E51">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e.投标人在投标活动中无欺诈行为；</w:t>
            </w:r>
          </w:p>
          <w:p w14:paraId="27EC831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f.投标人未对合同条款有重要保留。</w:t>
            </w:r>
          </w:p>
          <w:p w14:paraId="376DBC89">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第二信封（报价文件）评审标准：</w:t>
            </w:r>
          </w:p>
          <w:p w14:paraId="07E6951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（1）投标文件按照招标文件规定的格式、内容填写，字迹清晰可辨：</w:t>
            </w:r>
          </w:p>
          <w:p w14:paraId="33F1A5A9">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a.投标函按照招标文件规定填报了招标人名称、项目名称、补遗书编号（如有）、投标报价（包括大写金额和小写金额）；</w:t>
            </w:r>
          </w:p>
          <w:p w14:paraId="586D213B">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b.投标文件组成齐全完整，内容均按规定填写。</w:t>
            </w:r>
          </w:p>
          <w:p w14:paraId="6DA0B04B">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（2）投标文件上法定代表人或委托代理人的签字、投标人的单位章盖章齐全，符合招标文件规定。</w:t>
            </w:r>
          </w:p>
          <w:p w14:paraId="4898219C">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（3）投标报价未超过招标文件设定的所投标段的最高投标限价。</w:t>
            </w:r>
          </w:p>
          <w:p w14:paraId="0F4E3AF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（4）投标报价的大写金额能够确定具体数值。</w:t>
            </w:r>
          </w:p>
          <w:p w14:paraId="4738A850">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（5）同一投标人对同一标段未提交两个及以上不同的投标报价。</w:t>
            </w:r>
          </w:p>
          <w:p w14:paraId="639DE0B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（6）分项报价表中合计金额与投标函投标报价大写金额一致。</w:t>
            </w:r>
          </w:p>
        </w:tc>
      </w:tr>
      <w:tr w14:paraId="7E832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544" w:hRule="atLeast"/>
          <w:jc w:val="center"/>
        </w:trPr>
        <w:tc>
          <w:tcPr>
            <w:tcW w:w="1143" w:type="dxa"/>
            <w:vAlign w:val="center"/>
          </w:tcPr>
          <w:p w14:paraId="424C089F">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2.1.2</w:t>
            </w:r>
          </w:p>
        </w:tc>
        <w:tc>
          <w:tcPr>
            <w:tcW w:w="1317" w:type="dxa"/>
            <w:vAlign w:val="center"/>
          </w:tcPr>
          <w:p w14:paraId="79F392F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资格评审标准</w:t>
            </w:r>
          </w:p>
        </w:tc>
        <w:tc>
          <w:tcPr>
            <w:tcW w:w="7197" w:type="dxa"/>
            <w:vAlign w:val="center"/>
          </w:tcPr>
          <w:p w14:paraId="105A6B2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（1）投标人具备有效的企业营业执照和基本账户开户许可证（或基本存款账户信息）；</w:t>
            </w:r>
          </w:p>
          <w:p w14:paraId="77CD3AB0">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（2）投标人的资质符合招标文件规定；</w:t>
            </w:r>
          </w:p>
          <w:p w14:paraId="17516062">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（3）投标人的类似项目业绩符合招标文件规定；</w:t>
            </w:r>
          </w:p>
          <w:p w14:paraId="27EB5F8D">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（4）投标人的信誉符合招标文件规定；</w:t>
            </w:r>
          </w:p>
          <w:p w14:paraId="0BBD76CC">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（5）投标人不存在第二章“投标人须知”第1.4.3 项规定的任何一种情形。</w:t>
            </w:r>
          </w:p>
        </w:tc>
      </w:tr>
      <w:tr w14:paraId="347E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vAlign w:val="center"/>
          </w:tcPr>
          <w:p w14:paraId="08F0380C">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条款号</w:t>
            </w:r>
          </w:p>
        </w:tc>
        <w:tc>
          <w:tcPr>
            <w:tcW w:w="1317" w:type="dxa"/>
            <w:vAlign w:val="center"/>
          </w:tcPr>
          <w:p w14:paraId="02A2CE40">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条款内容</w:t>
            </w:r>
          </w:p>
        </w:tc>
        <w:tc>
          <w:tcPr>
            <w:tcW w:w="7197" w:type="dxa"/>
            <w:vAlign w:val="center"/>
          </w:tcPr>
          <w:p w14:paraId="3ACF0EF8">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编列内容</w:t>
            </w:r>
          </w:p>
        </w:tc>
      </w:tr>
      <w:tr w14:paraId="1209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63349FD4">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2.2.1</w:t>
            </w:r>
          </w:p>
        </w:tc>
        <w:tc>
          <w:tcPr>
            <w:tcW w:w="1317" w:type="dxa"/>
            <w:vAlign w:val="center"/>
          </w:tcPr>
          <w:p w14:paraId="74E46779">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第一个信封分值构成</w:t>
            </w:r>
          </w:p>
          <w:p w14:paraId="7962768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（总分100分）</w:t>
            </w:r>
          </w:p>
        </w:tc>
        <w:tc>
          <w:tcPr>
            <w:tcW w:w="7197" w:type="dxa"/>
            <w:vAlign w:val="center"/>
          </w:tcPr>
          <w:p w14:paraId="516A16B2">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技术部分：80 分</w:t>
            </w:r>
          </w:p>
          <w:p w14:paraId="6DF59C0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商务部分：20 分</w:t>
            </w:r>
          </w:p>
          <w:p w14:paraId="026FB1EE">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其他评分因素：0 分</w:t>
            </w:r>
          </w:p>
        </w:tc>
      </w:tr>
      <w:tr w14:paraId="1236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196AF9CB">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2.2.3</w:t>
            </w:r>
          </w:p>
        </w:tc>
        <w:tc>
          <w:tcPr>
            <w:tcW w:w="1317" w:type="dxa"/>
            <w:vAlign w:val="center"/>
          </w:tcPr>
          <w:p w14:paraId="37FDA3E2">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第二个信封详细评审标准</w:t>
            </w:r>
          </w:p>
        </w:tc>
        <w:tc>
          <w:tcPr>
            <w:tcW w:w="7197" w:type="dxa"/>
            <w:vAlign w:val="center"/>
          </w:tcPr>
          <w:p w14:paraId="1884E55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评标价计算公式：</w:t>
            </w:r>
          </w:p>
          <w:p w14:paraId="3D5F75C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评标价=投标函文字报价。</w:t>
            </w:r>
          </w:p>
        </w:tc>
      </w:tr>
      <w:tr w14:paraId="37C7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41ED145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3.2.4</w:t>
            </w:r>
          </w:p>
        </w:tc>
        <w:tc>
          <w:tcPr>
            <w:tcW w:w="1317" w:type="dxa"/>
            <w:vAlign w:val="center"/>
          </w:tcPr>
          <w:p w14:paraId="3F32A938">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通过第一个信封详细评审的投标人数量</w:t>
            </w:r>
          </w:p>
        </w:tc>
        <w:tc>
          <w:tcPr>
            <w:tcW w:w="7197" w:type="dxa"/>
            <w:vAlign w:val="center"/>
          </w:tcPr>
          <w:p w14:paraId="1592B219">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按照投标人的综合得分由高到低排序，选择前3 名进入第二信封评审。</w:t>
            </w:r>
          </w:p>
        </w:tc>
      </w:tr>
      <w:tr w14:paraId="2666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2460" w:type="dxa"/>
            <w:gridSpan w:val="2"/>
            <w:vAlign w:val="center"/>
          </w:tcPr>
          <w:p w14:paraId="6C3DB004">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3.5.3异常低价评审</w:t>
            </w:r>
          </w:p>
        </w:tc>
        <w:tc>
          <w:tcPr>
            <w:tcW w:w="7197" w:type="dxa"/>
            <w:vAlign w:val="center"/>
          </w:tcPr>
          <w:p w14:paraId="15967BDF">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本款增加：</w:t>
            </w:r>
          </w:p>
          <w:p w14:paraId="491ADB9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标委员会发现投标人的投标报价低于最高投标限价的60（含）%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709C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387" w:hRule="atLeast"/>
          <w:jc w:val="center"/>
        </w:trPr>
        <w:tc>
          <w:tcPr>
            <w:tcW w:w="1143" w:type="dxa"/>
            <w:vAlign w:val="center"/>
          </w:tcPr>
          <w:p w14:paraId="428DF07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3.6.1</w:t>
            </w:r>
          </w:p>
        </w:tc>
        <w:tc>
          <w:tcPr>
            <w:tcW w:w="1317" w:type="dxa"/>
            <w:vAlign w:val="center"/>
          </w:tcPr>
          <w:p w14:paraId="5A4ECD29">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投标文件相关信息核查</w:t>
            </w:r>
          </w:p>
        </w:tc>
        <w:tc>
          <w:tcPr>
            <w:tcW w:w="7197" w:type="dxa"/>
            <w:vAlign w:val="center"/>
          </w:tcPr>
          <w:p w14:paraId="1C21861F">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本款修改为:</w:t>
            </w:r>
          </w:p>
          <w:p w14:paraId="4D23202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1.评标委员会在评标过程中将对投标人的信誉情况进行查询。如投标人存在下列情形之一的，评标委员会应否决其投标。</w:t>
            </w:r>
          </w:p>
          <w:p w14:paraId="5794C67D">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（1）投标人在国家企业信用信息公示系统（http://www.gsxt.gov.cn/）中未被列入严重违法失信名单（黑名单）信息（不含分公司）；</w:t>
            </w:r>
          </w:p>
          <w:p w14:paraId="018F9935">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投标人在“信用中国”网站（http://www.creditchina.gov.cn/）中未被列入失信被执行人（或中国执行信息公开网http://zxgk.court.gov.cn/shixin/被执行人查询）、经营（活动）异常名录信息查询、重大税收违法失信主体、政府采购严重违法失信行为记录名单（均不含分公司）；</w:t>
            </w:r>
          </w:p>
          <w:p w14:paraId="7CF53A0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注：以上查询结果以开标当日查询结果为准。</w:t>
            </w:r>
          </w:p>
          <w:p w14:paraId="66C00C1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2.评标委员会在评标时按照投标人提供的验证方式对电子保函或电子保证保险进行验证。如投标人未提供电子保函或电子保证保险的验证方式，或根据提供的验证方式无法核实的，评标委员会应否决其投标。</w:t>
            </w:r>
          </w:p>
        </w:tc>
      </w:tr>
      <w:tr w14:paraId="7534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77" w:hRule="atLeast"/>
          <w:jc w:val="center"/>
        </w:trPr>
        <w:tc>
          <w:tcPr>
            <w:tcW w:w="1143" w:type="dxa"/>
            <w:vAlign w:val="center"/>
          </w:tcPr>
          <w:p w14:paraId="441E612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3.6.3</w:t>
            </w:r>
          </w:p>
        </w:tc>
        <w:tc>
          <w:tcPr>
            <w:tcW w:w="1317" w:type="dxa"/>
            <w:vAlign w:val="center"/>
          </w:tcPr>
          <w:p w14:paraId="5C81BE2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投标人其他</w:t>
            </w:r>
          </w:p>
          <w:p w14:paraId="7868C5B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异常投标情</w:t>
            </w:r>
          </w:p>
          <w:p w14:paraId="6675FEBB">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形</w:t>
            </w:r>
          </w:p>
        </w:tc>
        <w:tc>
          <w:tcPr>
            <w:tcW w:w="7197" w:type="dxa"/>
            <w:vAlign w:val="center"/>
          </w:tcPr>
          <w:p w14:paraId="57BA3282">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标委员会在评标过程中发现存在投标文件异常一致或投标活动异常关联等异常投标情形的，应当要求投标人在规定时间内作出书面说明并提供相应的证明材料。投标人不能合理说明或者不能提供相应证明材料的，评标委员会应当认定投标人存在投标文件异常一致或投标活动异常关联等异常投标情形，并否决其投标。</w:t>
            </w:r>
          </w:p>
          <w:p w14:paraId="1D30989E">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有下列情形之一的，属于投标文件异常一致或投标活动异常关联等异常投标情形：</w:t>
            </w:r>
          </w:p>
          <w:p w14:paraId="6C5BB4BF">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（1）投标人投标文件制作机器码雷同；</w:t>
            </w:r>
          </w:p>
          <w:p w14:paraId="1531EAF1">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（2）投标文件创建标识码雷同；</w:t>
            </w:r>
          </w:p>
          <w:p w14:paraId="370ED43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（3）投标文件制作计算机MAC 地址雷同；</w:t>
            </w:r>
          </w:p>
          <w:p w14:paraId="4EF08325">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（4）投标文件制作计算机硬盘序列号雷同；</w:t>
            </w:r>
          </w:p>
          <w:p w14:paraId="7BE4069E">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（5）招标文件下载IP 地址雷同；</w:t>
            </w:r>
          </w:p>
          <w:p w14:paraId="75DED5F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（6）投标文件上传IP 地址雷同；</w:t>
            </w:r>
          </w:p>
          <w:p w14:paraId="00C3DE52">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（7）投标文件解密IP 地址雷同。</w:t>
            </w:r>
          </w:p>
        </w:tc>
      </w:tr>
      <w:bookmarkEnd w:id="3"/>
    </w:tbl>
    <w:p w14:paraId="7FAD3645">
      <w:pPr>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bookmarkStart w:id="5" w:name="_GoBack"/>
      <w:bookmarkEnd w:id="5"/>
      <w:r>
        <w:rPr>
          <w:rFonts w:hint="eastAsia" w:ascii="仿宋_GB2312" w:hAnsi="仿宋_GB2312" w:eastAsia="仿宋_GB2312" w:cs="仿宋_GB2312"/>
          <w:sz w:val="32"/>
          <w:szCs w:val="32"/>
          <w:lang w:eastAsia="zh-CN"/>
        </w:rPr>
        <w:t>评分因素与权重分值</w:t>
      </w:r>
    </w:p>
    <w:tbl>
      <w:tblPr>
        <w:tblStyle w:val="3"/>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1134"/>
        <w:gridCol w:w="2126"/>
        <w:gridCol w:w="1003"/>
        <w:gridCol w:w="4480"/>
      </w:tblGrid>
      <w:tr w14:paraId="6EF2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exact"/>
          <w:tblHeader/>
          <w:jc w:val="center"/>
        </w:trPr>
        <w:tc>
          <w:tcPr>
            <w:tcW w:w="977" w:type="dxa"/>
            <w:tcBorders>
              <w:top w:val="single" w:color="auto" w:sz="4" w:space="0"/>
              <w:left w:val="single" w:color="auto" w:sz="4" w:space="0"/>
              <w:bottom w:val="single" w:color="auto" w:sz="4" w:space="0"/>
              <w:right w:val="single" w:color="auto" w:sz="4" w:space="0"/>
            </w:tcBorders>
            <w:vAlign w:val="center"/>
          </w:tcPr>
          <w:p w14:paraId="3307EA2E">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条款号</w:t>
            </w:r>
          </w:p>
        </w:tc>
        <w:tc>
          <w:tcPr>
            <w:tcW w:w="1134" w:type="dxa"/>
            <w:tcBorders>
              <w:top w:val="single" w:color="auto" w:sz="4" w:space="0"/>
              <w:left w:val="single" w:color="auto" w:sz="4" w:space="0"/>
              <w:bottom w:val="single" w:color="auto" w:sz="4" w:space="0"/>
              <w:right w:val="single" w:color="auto" w:sz="4" w:space="0"/>
            </w:tcBorders>
            <w:vAlign w:val="center"/>
          </w:tcPr>
          <w:p w14:paraId="51AFBCF4">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评分因素及分值</w:t>
            </w:r>
          </w:p>
        </w:tc>
        <w:tc>
          <w:tcPr>
            <w:tcW w:w="3129" w:type="dxa"/>
            <w:gridSpan w:val="2"/>
            <w:tcBorders>
              <w:top w:val="single" w:color="auto" w:sz="4" w:space="0"/>
              <w:left w:val="single" w:color="auto" w:sz="4" w:space="0"/>
              <w:bottom w:val="single" w:color="auto" w:sz="4" w:space="0"/>
              <w:right w:val="single" w:color="auto" w:sz="4" w:space="0"/>
            </w:tcBorders>
            <w:vAlign w:val="center"/>
          </w:tcPr>
          <w:p w14:paraId="5DF0B91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各评分因素细分项</w:t>
            </w:r>
          </w:p>
        </w:tc>
        <w:tc>
          <w:tcPr>
            <w:tcW w:w="4480" w:type="dxa"/>
            <w:tcBorders>
              <w:top w:val="single" w:color="auto" w:sz="4" w:space="0"/>
              <w:left w:val="single" w:color="auto" w:sz="4" w:space="0"/>
              <w:bottom w:val="single" w:color="auto" w:sz="4" w:space="0"/>
              <w:right w:val="single" w:color="auto" w:sz="4" w:space="0"/>
            </w:tcBorders>
            <w:vAlign w:val="center"/>
          </w:tcPr>
          <w:p w14:paraId="76F9F9D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评分标准</w:t>
            </w:r>
          </w:p>
        </w:tc>
      </w:tr>
      <w:tr w14:paraId="2822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720" w:type="dxa"/>
            <w:gridSpan w:val="5"/>
            <w:tcBorders>
              <w:top w:val="single" w:color="auto" w:sz="4" w:space="0"/>
              <w:left w:val="single" w:color="auto" w:sz="4" w:space="0"/>
              <w:bottom w:val="single" w:color="auto" w:sz="4" w:space="0"/>
              <w:right w:val="single" w:color="auto" w:sz="4" w:space="0"/>
            </w:tcBorders>
            <w:vAlign w:val="center"/>
          </w:tcPr>
          <w:p w14:paraId="5940DB19">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满分100分</w:t>
            </w:r>
          </w:p>
        </w:tc>
      </w:tr>
      <w:tr w14:paraId="03C1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exact"/>
          <w:jc w:val="center"/>
        </w:trPr>
        <w:tc>
          <w:tcPr>
            <w:tcW w:w="977" w:type="dxa"/>
            <w:vMerge w:val="restart"/>
            <w:tcBorders>
              <w:top w:val="single" w:color="auto" w:sz="4" w:space="0"/>
              <w:left w:val="single" w:color="auto" w:sz="4" w:space="0"/>
              <w:bottom w:val="single" w:color="auto" w:sz="4" w:space="0"/>
              <w:right w:val="single" w:color="auto" w:sz="4" w:space="0"/>
            </w:tcBorders>
            <w:vAlign w:val="center"/>
          </w:tcPr>
          <w:p w14:paraId="43CF3E79">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2.2.</w:t>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t>）</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009C798F">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技术部分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80</w:t>
            </w:r>
            <w:r>
              <w:rPr>
                <w:rFonts w:hint="eastAsia" w:ascii="仿宋_GB2312" w:hAnsi="仿宋_GB2312" w:eastAsia="仿宋_GB2312" w:cs="仿宋_GB2312"/>
                <w:sz w:val="32"/>
                <w:szCs w:val="32"/>
                <w:lang w:eastAsia="zh-CN"/>
              </w:rPr>
              <w:t>分）</w:t>
            </w:r>
          </w:p>
        </w:tc>
        <w:tc>
          <w:tcPr>
            <w:tcW w:w="2126" w:type="dxa"/>
            <w:tcBorders>
              <w:top w:val="single" w:color="auto" w:sz="4" w:space="0"/>
              <w:left w:val="single" w:color="auto" w:sz="4" w:space="0"/>
              <w:bottom w:val="single" w:color="auto" w:sz="4" w:space="0"/>
              <w:right w:val="single" w:color="auto" w:sz="4" w:space="0"/>
            </w:tcBorders>
            <w:vAlign w:val="center"/>
          </w:tcPr>
          <w:p w14:paraId="0DF00F0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投标设备整体评价</w:t>
            </w:r>
          </w:p>
        </w:tc>
        <w:tc>
          <w:tcPr>
            <w:tcW w:w="1003" w:type="dxa"/>
            <w:tcBorders>
              <w:top w:val="single" w:color="auto" w:sz="4" w:space="0"/>
              <w:left w:val="single" w:color="auto" w:sz="4" w:space="0"/>
              <w:bottom w:val="single" w:color="auto" w:sz="4" w:space="0"/>
              <w:right w:val="single" w:color="auto" w:sz="4" w:space="0"/>
            </w:tcBorders>
            <w:vAlign w:val="center"/>
          </w:tcPr>
          <w:p w14:paraId="4D7C921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20分</w:t>
            </w:r>
          </w:p>
        </w:tc>
        <w:tc>
          <w:tcPr>
            <w:tcW w:w="4480" w:type="dxa"/>
            <w:tcBorders>
              <w:top w:val="single" w:color="auto" w:sz="4" w:space="0"/>
              <w:left w:val="single" w:color="auto" w:sz="4" w:space="0"/>
              <w:bottom w:val="single" w:color="auto" w:sz="4" w:space="0"/>
              <w:right w:val="single" w:color="auto" w:sz="4" w:space="0"/>
            </w:tcBorders>
            <w:vAlign w:val="center"/>
          </w:tcPr>
          <w:p w14:paraId="3EFCB9C8">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1.设备整体性能优越、功能齐全、完善，自动化水平高，完全满足招标文件要求，得16-20 分；</w:t>
            </w:r>
          </w:p>
          <w:p w14:paraId="00700BC5">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2.设备整体性能较高、功能较齐全、较完善，自动化水平较高，满足招标文件要求，得12-16 分；</w:t>
            </w:r>
          </w:p>
          <w:p w14:paraId="65803D6F">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3.设备整体性能一般，功能一般，自动化水平一般，基本满足招标文件要求，得12 分。</w:t>
            </w:r>
          </w:p>
        </w:tc>
      </w:tr>
      <w:tr w14:paraId="03B5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0" w:hRule="exact"/>
          <w:jc w:val="center"/>
        </w:trPr>
        <w:tc>
          <w:tcPr>
            <w:tcW w:w="977" w:type="dxa"/>
            <w:vMerge w:val="continue"/>
            <w:tcBorders>
              <w:top w:val="single" w:color="auto" w:sz="4" w:space="0"/>
              <w:left w:val="single" w:color="auto" w:sz="4" w:space="0"/>
              <w:bottom w:val="single" w:color="auto" w:sz="4" w:space="0"/>
              <w:right w:val="single" w:color="auto" w:sz="4" w:space="0"/>
            </w:tcBorders>
            <w:vAlign w:val="center"/>
          </w:tcPr>
          <w:p w14:paraId="3BE3801A">
            <w:pPr>
              <w:rPr>
                <w:rFonts w:hint="eastAsia" w:ascii="仿宋_GB2312" w:hAnsi="仿宋_GB2312" w:eastAsia="仿宋_GB2312" w:cs="仿宋_GB2312"/>
                <w:sz w:val="32"/>
                <w:szCs w:val="32"/>
                <w:lang w:eastAsia="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21B646A1">
            <w:pPr>
              <w:rPr>
                <w:rFonts w:hint="eastAsia" w:ascii="仿宋_GB2312" w:hAnsi="仿宋_GB2312" w:eastAsia="仿宋_GB2312" w:cs="仿宋_GB2312"/>
                <w:sz w:val="32"/>
                <w:szCs w:val="32"/>
                <w:lang w:eastAsia="zh-CN"/>
              </w:rPr>
            </w:pPr>
          </w:p>
        </w:tc>
        <w:tc>
          <w:tcPr>
            <w:tcW w:w="2126" w:type="dxa"/>
            <w:tcBorders>
              <w:top w:val="single" w:color="auto" w:sz="4" w:space="0"/>
              <w:left w:val="single" w:color="auto" w:sz="4" w:space="0"/>
              <w:bottom w:val="single" w:color="auto" w:sz="4" w:space="0"/>
              <w:right w:val="single" w:color="auto" w:sz="4" w:space="0"/>
            </w:tcBorders>
            <w:vAlign w:val="center"/>
          </w:tcPr>
          <w:p w14:paraId="68C05884">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投标设备技术性能</w:t>
            </w:r>
          </w:p>
          <w:p w14:paraId="3610AB7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指标响应程度</w:t>
            </w:r>
          </w:p>
        </w:tc>
        <w:tc>
          <w:tcPr>
            <w:tcW w:w="1003" w:type="dxa"/>
            <w:tcBorders>
              <w:top w:val="single" w:color="auto" w:sz="4" w:space="0"/>
              <w:left w:val="single" w:color="auto" w:sz="4" w:space="0"/>
              <w:bottom w:val="single" w:color="auto" w:sz="4" w:space="0"/>
              <w:right w:val="single" w:color="auto" w:sz="4" w:space="0"/>
            </w:tcBorders>
            <w:vAlign w:val="center"/>
          </w:tcPr>
          <w:p w14:paraId="388F33E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20分</w:t>
            </w:r>
          </w:p>
        </w:tc>
        <w:tc>
          <w:tcPr>
            <w:tcW w:w="4480" w:type="dxa"/>
            <w:tcBorders>
              <w:top w:val="single" w:color="auto" w:sz="4" w:space="0"/>
              <w:left w:val="single" w:color="auto" w:sz="4" w:space="0"/>
              <w:bottom w:val="single" w:color="auto" w:sz="4" w:space="0"/>
              <w:right w:val="single" w:color="auto" w:sz="4" w:space="0"/>
            </w:tcBorders>
            <w:vAlign w:val="center"/>
          </w:tcPr>
          <w:p w14:paraId="68C6CA74">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t>投标产品选型合理，主要组成部件的技术性能参数及功能参数指标高，</w:t>
            </w:r>
          </w:p>
          <w:p w14:paraId="2D51C46B">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实用性强、产品设计科学合理、质量可靠，得</w:t>
            </w:r>
            <w:r>
              <w:rPr>
                <w:rFonts w:hint="eastAsia" w:ascii="仿宋_GB2312" w:hAnsi="仿宋_GB2312" w:eastAsia="仿宋_GB2312" w:cs="仿宋_GB2312"/>
                <w:sz w:val="32"/>
                <w:szCs w:val="32"/>
                <w:lang w:eastAsia="zh-CN"/>
              </w:rPr>
              <w:t xml:space="preserve">16-20 </w:t>
            </w:r>
            <w:r>
              <w:rPr>
                <w:rFonts w:hint="eastAsia" w:ascii="仿宋_GB2312" w:hAnsi="仿宋_GB2312" w:eastAsia="仿宋_GB2312" w:cs="仿宋_GB2312"/>
                <w:sz w:val="32"/>
                <w:szCs w:val="32"/>
                <w:lang w:eastAsia="zh-CN"/>
              </w:rPr>
              <w:t>分；</w:t>
            </w:r>
          </w:p>
          <w:p w14:paraId="34E9158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t>投标产品选型较合理，主要组成部件的技术性能参数及功能参数指标</w:t>
            </w:r>
          </w:p>
          <w:p w14:paraId="6CEB17DB">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较高，实用性较强、产品设计较合理、质量较可靠，得</w:t>
            </w:r>
            <w:r>
              <w:rPr>
                <w:rFonts w:hint="eastAsia" w:ascii="仿宋_GB2312" w:hAnsi="仿宋_GB2312" w:eastAsia="仿宋_GB2312" w:cs="仿宋_GB2312"/>
                <w:sz w:val="32"/>
                <w:szCs w:val="32"/>
                <w:lang w:eastAsia="zh-CN"/>
              </w:rPr>
              <w:t xml:space="preserve">12-16 </w:t>
            </w:r>
            <w:r>
              <w:rPr>
                <w:rFonts w:hint="eastAsia" w:ascii="仿宋_GB2312" w:hAnsi="仿宋_GB2312" w:eastAsia="仿宋_GB2312" w:cs="仿宋_GB2312"/>
                <w:sz w:val="32"/>
                <w:szCs w:val="32"/>
                <w:lang w:eastAsia="zh-CN"/>
              </w:rPr>
              <w:t>分；</w:t>
            </w:r>
          </w:p>
          <w:p w14:paraId="11FF218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lang w:eastAsia="zh-CN"/>
              </w:rPr>
              <w:t>投标产品选型一般，主要组成部件的技术性能参数及功能参数指标一般，实用性一般、产品设计一般、质量一般，得</w:t>
            </w:r>
            <w:r>
              <w:rPr>
                <w:rFonts w:hint="eastAsia" w:ascii="仿宋_GB2312" w:hAnsi="仿宋_GB2312" w:eastAsia="仿宋_GB2312" w:cs="仿宋_GB2312"/>
                <w:sz w:val="32"/>
                <w:szCs w:val="32"/>
                <w:lang w:eastAsia="zh-CN"/>
              </w:rPr>
              <w:t xml:space="preserve">12 </w:t>
            </w:r>
            <w:r>
              <w:rPr>
                <w:rFonts w:hint="eastAsia" w:ascii="仿宋_GB2312" w:hAnsi="仿宋_GB2312" w:eastAsia="仿宋_GB2312" w:cs="仿宋_GB2312"/>
                <w:sz w:val="32"/>
                <w:szCs w:val="32"/>
                <w:lang w:eastAsia="zh-CN"/>
              </w:rPr>
              <w:t>分。</w:t>
            </w:r>
          </w:p>
        </w:tc>
      </w:tr>
      <w:tr w14:paraId="06FE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2" w:hRule="exact"/>
          <w:jc w:val="center"/>
        </w:trPr>
        <w:tc>
          <w:tcPr>
            <w:tcW w:w="977" w:type="dxa"/>
            <w:vMerge w:val="continue"/>
            <w:tcBorders>
              <w:top w:val="single" w:color="auto" w:sz="4" w:space="0"/>
              <w:left w:val="single" w:color="auto" w:sz="4" w:space="0"/>
              <w:bottom w:val="single" w:color="auto" w:sz="4" w:space="0"/>
              <w:right w:val="single" w:color="auto" w:sz="4" w:space="0"/>
            </w:tcBorders>
            <w:vAlign w:val="center"/>
          </w:tcPr>
          <w:p w14:paraId="72787D3F">
            <w:pPr>
              <w:rPr>
                <w:rFonts w:hint="eastAsia" w:ascii="仿宋_GB2312" w:hAnsi="仿宋_GB2312" w:eastAsia="仿宋_GB2312" w:cs="仿宋_GB2312"/>
                <w:sz w:val="32"/>
                <w:szCs w:val="32"/>
                <w:lang w:eastAsia="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1369DEE3">
            <w:pPr>
              <w:rPr>
                <w:rFonts w:hint="eastAsia" w:ascii="仿宋_GB2312" w:hAnsi="仿宋_GB2312" w:eastAsia="仿宋_GB2312" w:cs="仿宋_GB2312"/>
                <w:sz w:val="32"/>
                <w:szCs w:val="32"/>
                <w:lang w:eastAsia="zh-CN"/>
              </w:rPr>
            </w:pPr>
          </w:p>
        </w:tc>
        <w:tc>
          <w:tcPr>
            <w:tcW w:w="2126" w:type="dxa"/>
            <w:tcBorders>
              <w:top w:val="single" w:color="auto" w:sz="4" w:space="0"/>
              <w:left w:val="single" w:color="auto" w:sz="4" w:space="0"/>
              <w:bottom w:val="single" w:color="auto" w:sz="4" w:space="0"/>
              <w:right w:val="single" w:color="auto" w:sz="4" w:space="0"/>
            </w:tcBorders>
            <w:vAlign w:val="center"/>
          </w:tcPr>
          <w:p w14:paraId="5F986DD3">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供货能力及进度保</w:t>
            </w:r>
          </w:p>
          <w:p w14:paraId="75BA1CCD">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障</w:t>
            </w:r>
          </w:p>
        </w:tc>
        <w:tc>
          <w:tcPr>
            <w:tcW w:w="1003" w:type="dxa"/>
            <w:tcBorders>
              <w:top w:val="single" w:color="auto" w:sz="4" w:space="0"/>
              <w:left w:val="single" w:color="auto" w:sz="4" w:space="0"/>
              <w:bottom w:val="single" w:color="auto" w:sz="4" w:space="0"/>
              <w:right w:val="single" w:color="auto" w:sz="4" w:space="0"/>
            </w:tcBorders>
            <w:vAlign w:val="center"/>
          </w:tcPr>
          <w:p w14:paraId="7FEFECE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20分</w:t>
            </w:r>
          </w:p>
        </w:tc>
        <w:tc>
          <w:tcPr>
            <w:tcW w:w="4480" w:type="dxa"/>
            <w:tcBorders>
              <w:top w:val="single" w:color="auto" w:sz="4" w:space="0"/>
              <w:left w:val="single" w:color="auto" w:sz="4" w:space="0"/>
              <w:bottom w:val="single" w:color="auto" w:sz="4" w:space="0"/>
              <w:right w:val="single" w:color="auto" w:sz="4" w:space="0"/>
            </w:tcBorders>
            <w:vAlign w:val="center"/>
          </w:tcPr>
          <w:p w14:paraId="3260C45F">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1.投标人提供的供货方案切实可行、供货能力强、交货进度有保障、能够保质保量的完成供货，针对供货过程中的特殊情况有预案，得16-20 分；</w:t>
            </w:r>
          </w:p>
          <w:p w14:paraId="455A31A0">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2.投标人提供的供货方案可行、供货能力较强、交货进度满足招标文件要求，得12-16 分；</w:t>
            </w:r>
          </w:p>
          <w:p w14:paraId="302E9B0C">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3.投标人提供的供货方案一般、供货能力一般、交货进度基本满足招标文件要求，得12 分。</w:t>
            </w:r>
          </w:p>
        </w:tc>
      </w:tr>
      <w:tr w14:paraId="3AC5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977" w:type="dxa"/>
            <w:vMerge w:val="continue"/>
            <w:tcBorders>
              <w:top w:val="single" w:color="auto" w:sz="4" w:space="0"/>
              <w:left w:val="single" w:color="auto" w:sz="4" w:space="0"/>
              <w:bottom w:val="single" w:color="auto" w:sz="4" w:space="0"/>
              <w:right w:val="single" w:color="auto" w:sz="4" w:space="0"/>
            </w:tcBorders>
            <w:vAlign w:val="center"/>
          </w:tcPr>
          <w:p w14:paraId="7AD59C71">
            <w:pPr>
              <w:rPr>
                <w:rFonts w:hint="eastAsia" w:ascii="仿宋_GB2312" w:hAnsi="仿宋_GB2312" w:eastAsia="仿宋_GB2312" w:cs="仿宋_GB2312"/>
                <w:sz w:val="32"/>
                <w:szCs w:val="32"/>
                <w:lang w:eastAsia="zh-CN"/>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FDF9867">
            <w:pPr>
              <w:rPr>
                <w:rFonts w:hint="eastAsia" w:ascii="仿宋_GB2312" w:hAnsi="仿宋_GB2312" w:eastAsia="仿宋_GB2312" w:cs="仿宋_GB2312"/>
                <w:sz w:val="32"/>
                <w:szCs w:val="32"/>
                <w:lang w:eastAsia="zh-CN"/>
              </w:rPr>
            </w:pPr>
          </w:p>
        </w:tc>
        <w:tc>
          <w:tcPr>
            <w:tcW w:w="2126" w:type="dxa"/>
            <w:tcBorders>
              <w:top w:val="single" w:color="auto" w:sz="4" w:space="0"/>
              <w:left w:val="single" w:color="auto" w:sz="4" w:space="0"/>
              <w:bottom w:val="single" w:color="auto" w:sz="4" w:space="0"/>
              <w:right w:val="single" w:color="auto" w:sz="4" w:space="0"/>
            </w:tcBorders>
            <w:vAlign w:val="center"/>
          </w:tcPr>
          <w:p w14:paraId="6FE6A34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技术服务及质保期</w:t>
            </w:r>
          </w:p>
          <w:p w14:paraId="7E129802">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服务</w:t>
            </w:r>
          </w:p>
        </w:tc>
        <w:tc>
          <w:tcPr>
            <w:tcW w:w="1003" w:type="dxa"/>
            <w:tcBorders>
              <w:top w:val="single" w:color="auto" w:sz="4" w:space="0"/>
              <w:left w:val="single" w:color="auto" w:sz="4" w:space="0"/>
              <w:bottom w:val="single" w:color="auto" w:sz="4" w:space="0"/>
              <w:right w:val="single" w:color="auto" w:sz="4" w:space="0"/>
            </w:tcBorders>
            <w:vAlign w:val="center"/>
          </w:tcPr>
          <w:p w14:paraId="2A5E6E01">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20分</w:t>
            </w:r>
          </w:p>
        </w:tc>
        <w:tc>
          <w:tcPr>
            <w:tcW w:w="4480" w:type="dxa"/>
            <w:tcBorders>
              <w:top w:val="single" w:color="auto" w:sz="4" w:space="0"/>
              <w:left w:val="single" w:color="auto" w:sz="4" w:space="0"/>
              <w:bottom w:val="single" w:color="auto" w:sz="4" w:space="0"/>
              <w:right w:val="single" w:color="auto" w:sz="4" w:space="0"/>
            </w:tcBorders>
            <w:vAlign w:val="center"/>
          </w:tcPr>
          <w:p w14:paraId="03AED7C9">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服务方案切实可行，针对性强，服务体系完善，得16-20 分；</w:t>
            </w:r>
          </w:p>
          <w:p w14:paraId="6598EF11">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服务方案较切实可行，针对性较强，服务体系较完善，得12-16 分；</w:t>
            </w:r>
          </w:p>
          <w:p w14:paraId="37185018">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服务方案基本可行，服务体系基本完善，得12 分；</w:t>
            </w:r>
          </w:p>
        </w:tc>
      </w:tr>
      <w:tr w14:paraId="25D6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exact"/>
          <w:jc w:val="center"/>
        </w:trPr>
        <w:tc>
          <w:tcPr>
            <w:tcW w:w="977" w:type="dxa"/>
            <w:tcBorders>
              <w:top w:val="single" w:color="auto" w:sz="4" w:space="0"/>
              <w:left w:val="single" w:color="auto" w:sz="4" w:space="0"/>
              <w:bottom w:val="single" w:color="auto" w:sz="4" w:space="0"/>
              <w:right w:val="single" w:color="auto" w:sz="4" w:space="0"/>
            </w:tcBorders>
            <w:vAlign w:val="center"/>
          </w:tcPr>
          <w:p w14:paraId="44A4AB5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2.2.</w:t>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t>）</w:t>
            </w:r>
          </w:p>
        </w:tc>
        <w:tc>
          <w:tcPr>
            <w:tcW w:w="1134" w:type="dxa"/>
            <w:tcBorders>
              <w:top w:val="single" w:color="auto" w:sz="4" w:space="0"/>
              <w:left w:val="single" w:color="auto" w:sz="4" w:space="0"/>
              <w:bottom w:val="single" w:color="auto" w:sz="4" w:space="0"/>
              <w:right w:val="single" w:color="auto" w:sz="4" w:space="0"/>
            </w:tcBorders>
            <w:vAlign w:val="center"/>
          </w:tcPr>
          <w:p w14:paraId="7C4DF721">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业绩（</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t>0分）</w:t>
            </w:r>
          </w:p>
        </w:tc>
        <w:tc>
          <w:tcPr>
            <w:tcW w:w="2126" w:type="dxa"/>
            <w:tcBorders>
              <w:top w:val="single" w:color="auto" w:sz="4" w:space="0"/>
              <w:left w:val="single" w:color="auto" w:sz="4" w:space="0"/>
              <w:bottom w:val="single" w:color="auto" w:sz="4" w:space="0"/>
              <w:right w:val="single" w:color="auto" w:sz="4" w:space="0"/>
            </w:tcBorders>
            <w:vAlign w:val="center"/>
          </w:tcPr>
          <w:p w14:paraId="560E949D">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单位业绩</w:t>
            </w:r>
          </w:p>
        </w:tc>
        <w:tc>
          <w:tcPr>
            <w:tcW w:w="1003" w:type="dxa"/>
            <w:tcBorders>
              <w:top w:val="single" w:color="auto" w:sz="4" w:space="0"/>
              <w:left w:val="single" w:color="auto" w:sz="4" w:space="0"/>
              <w:bottom w:val="single" w:color="auto" w:sz="4" w:space="0"/>
              <w:right w:val="single" w:color="auto" w:sz="4" w:space="0"/>
            </w:tcBorders>
            <w:vAlign w:val="center"/>
          </w:tcPr>
          <w:p w14:paraId="08682CF8">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t>0分</w:t>
            </w:r>
          </w:p>
        </w:tc>
        <w:tc>
          <w:tcPr>
            <w:tcW w:w="4480" w:type="dxa"/>
            <w:tcBorders>
              <w:top w:val="single" w:color="auto" w:sz="4" w:space="0"/>
              <w:left w:val="single" w:color="auto" w:sz="4" w:space="0"/>
              <w:bottom w:val="single" w:color="auto" w:sz="4" w:space="0"/>
              <w:right w:val="single" w:color="auto" w:sz="4" w:space="0"/>
            </w:tcBorders>
            <w:vAlign w:val="center"/>
          </w:tcPr>
          <w:p w14:paraId="1F91E915">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满足附录3资格审查条件(业绩最低要求)得1</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t>分；</w:t>
            </w:r>
          </w:p>
          <w:p w14:paraId="3BA78CF1">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每增加1项满足资格审查条件（业绩最低要求）的业绩加</w:t>
            </w:r>
            <w:r>
              <w:rPr>
                <w:rFonts w:hint="eastAsia" w:ascii="仿宋_GB2312" w:hAnsi="仿宋_GB2312" w:eastAsia="仿宋_GB2312" w:cs="仿宋_GB2312"/>
                <w:sz w:val="32"/>
                <w:szCs w:val="32"/>
                <w:lang w:eastAsia="zh-CN"/>
              </w:rPr>
              <w:t>4</w:t>
            </w:r>
            <w:r>
              <w:rPr>
                <w:rFonts w:hint="eastAsia" w:ascii="仿宋_GB2312" w:hAnsi="仿宋_GB2312" w:eastAsia="仿宋_GB2312" w:cs="仿宋_GB2312"/>
                <w:sz w:val="32"/>
                <w:szCs w:val="32"/>
                <w:lang w:eastAsia="zh-CN"/>
              </w:rPr>
              <w:t>分，本项最高加</w:t>
            </w:r>
            <w:r>
              <w:rPr>
                <w:rFonts w:hint="eastAsia" w:ascii="仿宋_GB2312" w:hAnsi="仿宋_GB2312" w:eastAsia="仿宋_GB2312" w:cs="仿宋_GB2312"/>
                <w:sz w:val="32"/>
                <w:szCs w:val="32"/>
                <w:lang w:eastAsia="zh-CN"/>
              </w:rPr>
              <w:t>8</w:t>
            </w:r>
            <w:r>
              <w:rPr>
                <w:rFonts w:hint="eastAsia" w:ascii="仿宋_GB2312" w:hAnsi="仿宋_GB2312" w:eastAsia="仿宋_GB2312" w:cs="仿宋_GB2312"/>
                <w:sz w:val="32"/>
                <w:szCs w:val="32"/>
                <w:lang w:eastAsia="zh-CN"/>
              </w:rPr>
              <w:t>分。</w:t>
            </w:r>
          </w:p>
        </w:tc>
      </w:tr>
      <w:tr w14:paraId="4FB7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exact"/>
          <w:jc w:val="center"/>
        </w:trPr>
        <w:tc>
          <w:tcPr>
            <w:tcW w:w="977" w:type="dxa"/>
            <w:tcBorders>
              <w:top w:val="single" w:color="auto" w:sz="4" w:space="0"/>
              <w:left w:val="single" w:color="auto" w:sz="4" w:space="0"/>
              <w:bottom w:val="single" w:color="auto" w:sz="4" w:space="0"/>
              <w:right w:val="single" w:color="auto" w:sz="4" w:space="0"/>
            </w:tcBorders>
            <w:vAlign w:val="center"/>
          </w:tcPr>
          <w:p w14:paraId="3C0B656D">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2.2.</w:t>
            </w:r>
            <w:r>
              <w:rPr>
                <w:rFonts w:hint="eastAsia" w:ascii="仿宋_GB2312" w:hAnsi="仿宋_GB2312" w:eastAsia="仿宋_GB2312" w:cs="仿宋_GB2312"/>
                <w:sz w:val="32"/>
                <w:szCs w:val="32"/>
                <w:lang w:eastAsia="zh-CN"/>
              </w:rPr>
              <w:t>1</w:t>
            </w:r>
          </w:p>
          <w:p w14:paraId="1C3ED247">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w:t>
            </w:r>
          </w:p>
        </w:tc>
        <w:tc>
          <w:tcPr>
            <w:tcW w:w="1134" w:type="dxa"/>
            <w:tcBorders>
              <w:top w:val="single" w:color="auto" w:sz="4" w:space="0"/>
              <w:left w:val="single" w:color="auto" w:sz="4" w:space="0"/>
              <w:bottom w:val="single" w:color="auto" w:sz="4" w:space="0"/>
              <w:right w:val="single" w:color="auto" w:sz="4" w:space="0"/>
            </w:tcBorders>
            <w:vAlign w:val="center"/>
          </w:tcPr>
          <w:p w14:paraId="3115B2CE">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其他评分因素</w:t>
            </w:r>
          </w:p>
        </w:tc>
        <w:tc>
          <w:tcPr>
            <w:tcW w:w="7609" w:type="dxa"/>
            <w:gridSpan w:val="3"/>
            <w:tcBorders>
              <w:top w:val="single" w:color="auto" w:sz="4" w:space="0"/>
              <w:left w:val="single" w:color="auto" w:sz="4" w:space="0"/>
              <w:bottom w:val="single" w:color="auto" w:sz="4" w:space="0"/>
              <w:right w:val="single" w:color="auto" w:sz="4" w:space="0"/>
            </w:tcBorders>
            <w:vAlign w:val="center"/>
          </w:tcPr>
          <w:p w14:paraId="2879477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w:t>
            </w:r>
          </w:p>
        </w:tc>
      </w:tr>
    </w:tbl>
    <w:p w14:paraId="5D379965">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注：</w:t>
      </w:r>
    </w:p>
    <w:p w14:paraId="39049760">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t>、评委打分保留</w:t>
      </w:r>
      <w:r>
        <w:rPr>
          <w:rFonts w:hint="eastAsia" w:ascii="仿宋_GB2312" w:hAnsi="仿宋_GB2312" w:eastAsia="仿宋_GB2312" w:cs="仿宋_GB2312"/>
          <w:sz w:val="32"/>
          <w:szCs w:val="32"/>
          <w:lang w:eastAsia="zh-CN"/>
        </w:rPr>
        <w:t xml:space="preserve">1 </w:t>
      </w:r>
      <w:r>
        <w:rPr>
          <w:rFonts w:hint="eastAsia" w:ascii="仿宋_GB2312" w:hAnsi="仿宋_GB2312" w:eastAsia="仿宋_GB2312" w:cs="仿宋_GB2312"/>
          <w:sz w:val="32"/>
          <w:szCs w:val="32"/>
          <w:lang w:eastAsia="zh-CN"/>
        </w:rPr>
        <w:t>位小数，各评分因素得分应以评标委员会各成员的打分平均值确定，保留两位小数，第三位四舍五入。</w:t>
      </w:r>
    </w:p>
    <w:p w14:paraId="003015FF">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t>、第</w:t>
      </w:r>
      <w:r>
        <w:rPr>
          <w:rFonts w:hint="eastAsia" w:ascii="仿宋_GB2312" w:hAnsi="仿宋_GB2312" w:eastAsia="仿宋_GB2312" w:cs="仿宋_GB2312"/>
          <w:sz w:val="32"/>
          <w:szCs w:val="32"/>
          <w:lang w:eastAsia="zh-CN"/>
        </w:rPr>
        <w:t>2.2.1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t>）项评标委员会成员对某一项评分因素的评分低于权重分值</w:t>
      </w:r>
      <w:r>
        <w:rPr>
          <w:rFonts w:hint="eastAsia" w:ascii="仿宋_GB2312" w:hAnsi="仿宋_GB2312" w:eastAsia="仿宋_GB2312" w:cs="仿宋_GB2312"/>
          <w:sz w:val="32"/>
          <w:szCs w:val="32"/>
          <w:lang w:eastAsia="zh-CN"/>
        </w:rPr>
        <w:t>60%</w:t>
      </w:r>
      <w:r>
        <w:rPr>
          <w:rFonts w:hint="eastAsia" w:ascii="仿宋_GB2312" w:hAnsi="仿宋_GB2312" w:eastAsia="仿宋_GB2312" w:cs="仿宋_GB2312"/>
          <w:sz w:val="32"/>
          <w:szCs w:val="32"/>
          <w:lang w:eastAsia="zh-CN"/>
        </w:rPr>
        <w:t>的，应在评标报告中作出说明。评审因素细分项缺项则该项得</w:t>
      </w:r>
      <w:r>
        <w:rPr>
          <w:rFonts w:hint="eastAsia" w:ascii="仿宋_GB2312" w:hAnsi="仿宋_GB2312" w:eastAsia="仿宋_GB2312" w:cs="仿宋_GB2312"/>
          <w:sz w:val="32"/>
          <w:szCs w:val="32"/>
          <w:lang w:eastAsia="zh-CN"/>
        </w:rPr>
        <w:t xml:space="preserve">0 </w:t>
      </w:r>
      <w:r>
        <w:rPr>
          <w:rFonts w:hint="eastAsia" w:ascii="仿宋_GB2312" w:hAnsi="仿宋_GB2312" w:eastAsia="仿宋_GB2312" w:cs="仿宋_GB2312"/>
          <w:sz w:val="32"/>
          <w:szCs w:val="32"/>
          <w:lang w:eastAsia="zh-CN"/>
        </w:rPr>
        <w:t>分。</w:t>
      </w:r>
    </w:p>
    <w:bookmarkEnd w:id="2"/>
    <w:bookmarkEnd w:id="4"/>
    <w:p w14:paraId="09C31C88">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DE2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imes New Roman" w:hAnsi="Times New Roman" w:eastAsia="宋体" w:cs="Times New Roman"/>
      <w:sz w:val="22"/>
      <w:szCs w:val="22"/>
      <w:lang w:val="en-US" w:eastAsia="en-US" w:bidi="ar-SA"/>
    </w:rPr>
  </w:style>
  <w:style w:type="paragraph" w:styleId="2">
    <w:name w:val="heading 1"/>
    <w:next w:val="1"/>
    <w:qFormat/>
    <w:uiPriority w:val="0"/>
    <w:pPr>
      <w:wordWrap w:val="0"/>
      <w:spacing w:after="160"/>
      <w:jc w:val="both"/>
      <w:outlineLvl w:val="0"/>
    </w:pPr>
    <w:rPr>
      <w:rFonts w:ascii="宋体" w:hAnsi="宋体" w:eastAsia="宋体" w:cs="宋体"/>
      <w:sz w:val="28"/>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2026-10-29T08:32:38Z</dcterms:created>
  <dc:creator>交通频道</dc:creator>
  <cp:lastModifiedBy>张静波</cp:lastModifiedBy>
  <dcterms:modified xsi:type="dcterms:W3CDTF">2026-10-29T08:33:27Z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eyJoZGlkIjoiNWI1ZTkxY2ZjNDMxNTU0N2YwYzQyMjA3N2QwNWYwOWQiLCJ1c2VySWQiOiIxNDYxNzkxMjU2In0=</vt:lpwstr>
  </property>
  <property fmtid="{D5CDD505-2E9C-101B-9397-08002B2CF9AE}" pid="4" name="ICV">
    <vt:lpwstr>A9DF1693E8C44DBFA6871957C20619DD_12</vt:lpwstr>
  </property>
</Properties>
</file>