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3D8FB">
      <w:pPr>
        <w:rPr>
          <w:rFonts w:hint="eastAsia"/>
          <w:b/>
          <w:bCs/>
          <w:lang w:eastAsia="zh-CN"/>
        </w:rPr>
      </w:pPr>
      <w:bookmarkStart w:id="0" w:name="_Hlk531337368"/>
      <w:r>
        <w:rPr>
          <w:rFonts w:hint="eastAsia"/>
          <w:b/>
          <w:bCs/>
          <w:lang w:eastAsia="zh-CN"/>
        </w:rPr>
        <w:t>附件2：评标办法</w:t>
      </w:r>
      <w:bookmarkEnd w:id="0"/>
    </w:p>
    <w:p w14:paraId="38D7EE33">
      <w:pPr>
        <w:rPr>
          <w:rFonts w:hint="eastAsia"/>
        </w:rPr>
      </w:pPr>
      <w:bookmarkStart w:id="1" w:name="_Toc85193225"/>
      <w:r>
        <w:rPr>
          <w:rFonts w:hint="eastAsia"/>
        </w:rPr>
        <w:t>评标办法前附表</w:t>
      </w:r>
      <w:bookmarkEnd w:id="1"/>
      <w:bookmarkStart w:id="2" w:name="OLE_LINK4"/>
    </w:p>
    <w:tbl>
      <w:tblPr>
        <w:tblStyle w:val="4"/>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4ACC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4ED9EC46">
            <w:pPr>
              <w:rPr>
                <w:rFonts w:hint="eastAsia"/>
                <w:lang w:eastAsia="zh-CN"/>
              </w:rPr>
            </w:pPr>
            <w:bookmarkStart w:id="3" w:name="_Hlk2518807"/>
            <w:bookmarkStart w:id="4" w:name="OLE_LINK11"/>
            <w:r>
              <w:rPr>
                <w:lang w:eastAsia="zh-CN"/>
              </w:rPr>
              <w:t>条款号</w:t>
            </w:r>
          </w:p>
        </w:tc>
        <w:tc>
          <w:tcPr>
            <w:tcW w:w="7197" w:type="dxa"/>
            <w:vAlign w:val="center"/>
          </w:tcPr>
          <w:p w14:paraId="194A19CA">
            <w:pPr>
              <w:rPr>
                <w:rFonts w:hint="eastAsia"/>
                <w:lang w:eastAsia="zh-CN"/>
              </w:rPr>
            </w:pPr>
            <w:r>
              <w:rPr>
                <w:lang w:eastAsia="zh-CN"/>
              </w:rPr>
              <w:t>评审因素与标准</w:t>
            </w:r>
          </w:p>
        </w:tc>
      </w:tr>
      <w:tr w14:paraId="6ED9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810" w:hRule="atLeast"/>
          <w:jc w:val="center"/>
        </w:trPr>
        <w:tc>
          <w:tcPr>
            <w:tcW w:w="1143" w:type="dxa"/>
            <w:vAlign w:val="center"/>
          </w:tcPr>
          <w:p w14:paraId="14A09B8A">
            <w:pPr>
              <w:rPr>
                <w:rFonts w:hint="eastAsia"/>
                <w:lang w:eastAsia="zh-CN"/>
              </w:rPr>
            </w:pPr>
            <w:r>
              <w:rPr>
                <w:lang w:eastAsia="zh-CN"/>
              </w:rPr>
              <w:t>1</w:t>
            </w:r>
          </w:p>
        </w:tc>
        <w:tc>
          <w:tcPr>
            <w:tcW w:w="1317" w:type="dxa"/>
            <w:vAlign w:val="center"/>
          </w:tcPr>
          <w:p w14:paraId="707BC596">
            <w:pPr>
              <w:rPr>
                <w:rFonts w:hint="eastAsia"/>
                <w:lang w:eastAsia="zh-CN"/>
              </w:rPr>
            </w:pPr>
            <w:r>
              <w:rPr>
                <w:lang w:eastAsia="zh-CN"/>
              </w:rPr>
              <w:t>评标办法</w:t>
            </w:r>
          </w:p>
        </w:tc>
        <w:tc>
          <w:tcPr>
            <w:tcW w:w="7197" w:type="dxa"/>
            <w:vAlign w:val="center"/>
          </w:tcPr>
          <w:p w14:paraId="5757FE22">
            <w:pPr>
              <w:rPr>
                <w:rFonts w:hint="eastAsia"/>
                <w:lang w:eastAsia="zh-CN"/>
              </w:rPr>
            </w:pPr>
            <w:r>
              <w:rPr>
                <w:rFonts w:hint="eastAsia"/>
                <w:lang w:eastAsia="zh-CN"/>
              </w:rPr>
              <w:t>本次评标采用技术评分最低标价法，双信封形式。</w:t>
            </w:r>
          </w:p>
          <w:p w14:paraId="65BD34E4">
            <w:pPr>
              <w:rPr>
                <w:rFonts w:hint="eastAsia"/>
                <w:lang w:eastAsia="zh-CN"/>
              </w:rPr>
            </w:pPr>
            <w:r>
              <w:rPr>
                <w:rFonts w:hint="eastAsia"/>
                <w:lang w:eastAsia="zh-CN"/>
              </w:rPr>
              <w:t>评标委员会对满足招标文件实质性要求的投标文件第一个信封，按照本章第2.2 款规定的评分标准进行打分，并按综合得分由高到低顺序确定前3 名投标人进入第二个信封评审。若综合得分相同，以技术部分得分高的投标人优先；技术部分</w:t>
            </w:r>
            <w:bookmarkStart w:id="5" w:name="_GoBack"/>
            <w:bookmarkEnd w:id="5"/>
            <w:r>
              <w:rPr>
                <w:rFonts w:hint="eastAsia"/>
                <w:lang w:eastAsia="zh-CN"/>
              </w:rPr>
              <w:t>得分也相同的，以满足资格审查条件（业绩最低要求）累计合同金额高的投标人优先。未通过第一信封评审或综合得分未进入前3名的投标人，其第二信封在整个评标期间不再开封，不随任何因素发生变化。</w:t>
            </w:r>
          </w:p>
          <w:p w14:paraId="26A3072A">
            <w:pPr>
              <w:rPr>
                <w:rFonts w:hint="eastAsia"/>
                <w:lang w:eastAsia="zh-CN"/>
              </w:rPr>
            </w:pPr>
            <w:r>
              <w:rPr>
                <w:rFonts w:hint="eastAsia"/>
                <w:lang w:eastAsia="zh-CN"/>
              </w:rPr>
              <w:t>评标委员会对投标文件第二个信封进行评审，并按评标价由低到高的顺序，向招标人推荐1-3 名中标候选人。</w:t>
            </w:r>
          </w:p>
          <w:p w14:paraId="5756A528">
            <w:pPr>
              <w:rPr>
                <w:rFonts w:hint="eastAsia"/>
                <w:lang w:eastAsia="zh-CN"/>
              </w:rPr>
            </w:pPr>
            <w:r>
              <w:rPr>
                <w:rFonts w:hint="eastAsia"/>
                <w:lang w:eastAsia="zh-CN"/>
              </w:rPr>
              <w:t>评标价相等时，评标委员会依次按照以下优先顺序推荐中标候选人：</w:t>
            </w:r>
          </w:p>
          <w:p w14:paraId="320AD3A3">
            <w:pPr>
              <w:rPr>
                <w:rFonts w:hint="eastAsia"/>
                <w:lang w:eastAsia="zh-CN"/>
              </w:rPr>
            </w:pPr>
            <w:r>
              <w:rPr>
                <w:rFonts w:hint="eastAsia"/>
                <w:lang w:eastAsia="zh-CN"/>
              </w:rPr>
              <w:t>（1）第一个信封技术部分得分较高的投标人优先；</w:t>
            </w:r>
          </w:p>
          <w:p w14:paraId="6465E177">
            <w:pPr>
              <w:rPr>
                <w:rFonts w:hint="eastAsia"/>
                <w:lang w:eastAsia="zh-CN"/>
              </w:rPr>
            </w:pPr>
            <w:r>
              <w:rPr>
                <w:rFonts w:hint="eastAsia"/>
                <w:lang w:eastAsia="zh-CN"/>
              </w:rPr>
              <w:t>（2）满足资格审查条件（业绩最低要求）累计合同金额高的投标人</w:t>
            </w:r>
          </w:p>
          <w:p w14:paraId="3387767C">
            <w:pPr>
              <w:rPr>
                <w:rFonts w:hint="eastAsia"/>
                <w:lang w:eastAsia="zh-CN"/>
              </w:rPr>
            </w:pPr>
            <w:r>
              <w:rPr>
                <w:rFonts w:hint="eastAsia"/>
                <w:lang w:eastAsia="zh-CN"/>
              </w:rPr>
              <w:t>优先；</w:t>
            </w:r>
          </w:p>
        </w:tc>
      </w:tr>
      <w:tr w14:paraId="1FAC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219B2FD0">
            <w:pPr>
              <w:rPr>
                <w:rFonts w:hint="eastAsia"/>
                <w:lang w:eastAsia="zh-CN"/>
              </w:rPr>
            </w:pPr>
            <w:r>
              <w:rPr>
                <w:lang w:eastAsia="zh-CN"/>
              </w:rPr>
              <w:t>2.1.1</w:t>
            </w:r>
          </w:p>
          <w:p w14:paraId="5985F423">
            <w:pPr>
              <w:rPr>
                <w:rFonts w:hint="eastAsia"/>
                <w:lang w:eastAsia="zh-CN"/>
              </w:rPr>
            </w:pPr>
            <w:r>
              <w:rPr>
                <w:lang w:eastAsia="zh-CN"/>
              </w:rPr>
              <w:t>2.1.3</w:t>
            </w:r>
          </w:p>
        </w:tc>
        <w:tc>
          <w:tcPr>
            <w:tcW w:w="1317" w:type="dxa"/>
            <w:vAlign w:val="center"/>
          </w:tcPr>
          <w:p w14:paraId="02F3B7B0">
            <w:pPr>
              <w:rPr>
                <w:rFonts w:hint="eastAsia"/>
                <w:lang w:eastAsia="zh-CN"/>
              </w:rPr>
            </w:pPr>
            <w:r>
              <w:rPr>
                <w:lang w:eastAsia="zh-CN"/>
              </w:rPr>
              <w:t>形式评审与响应性评审标准</w:t>
            </w:r>
          </w:p>
        </w:tc>
        <w:tc>
          <w:tcPr>
            <w:tcW w:w="7197" w:type="dxa"/>
            <w:vAlign w:val="center"/>
          </w:tcPr>
          <w:p w14:paraId="5ADA8DAA">
            <w:pPr>
              <w:rPr>
                <w:rFonts w:hint="eastAsia"/>
                <w:lang w:eastAsia="zh-CN"/>
              </w:rPr>
            </w:pPr>
          </w:p>
          <w:p w14:paraId="0D798B7B">
            <w:pPr>
              <w:rPr>
                <w:rFonts w:hint="eastAsia"/>
                <w:lang w:eastAsia="zh-CN"/>
              </w:rPr>
            </w:pPr>
            <w:r>
              <w:rPr>
                <w:lang w:eastAsia="zh-CN"/>
              </w:rPr>
              <w:t>第一信封（商务及技术文件）评审标准：</w:t>
            </w:r>
          </w:p>
          <w:p w14:paraId="0AE89433">
            <w:pPr>
              <w:rPr>
                <w:rFonts w:hint="eastAsia"/>
                <w:lang w:eastAsia="zh-CN"/>
              </w:rPr>
            </w:pPr>
            <w:r>
              <w:rPr>
                <w:lang w:eastAsia="zh-CN"/>
              </w:rPr>
              <w:t>（1）投标文件按照招标文件规定的格式、内容填写，字迹清晰可辨：</w:t>
            </w:r>
          </w:p>
          <w:p w14:paraId="178A29F1">
            <w:pPr>
              <w:rPr>
                <w:rFonts w:hint="eastAsia"/>
                <w:lang w:eastAsia="zh-CN"/>
              </w:rPr>
            </w:pPr>
            <w:r>
              <w:rPr>
                <w:rFonts w:hint="eastAsia"/>
                <w:lang w:eastAsia="zh-CN"/>
              </w:rPr>
              <w:t>a.投标函按照招标文件规定填报了招标人名称、项目名称、</w:t>
            </w:r>
            <w:r>
              <w:rPr>
                <w:lang w:eastAsia="zh-CN"/>
              </w:rPr>
              <w:t>标段号</w:t>
            </w:r>
            <w:r>
              <w:rPr>
                <w:rFonts w:hint="eastAsia"/>
                <w:lang w:eastAsia="zh-CN"/>
              </w:rPr>
              <w:t>、补遗书编号（如有）、交货地点、交货期和质量标准；</w:t>
            </w:r>
          </w:p>
          <w:p w14:paraId="2A77CBFB">
            <w:pPr>
              <w:rPr>
                <w:rFonts w:hint="eastAsia"/>
                <w:lang w:eastAsia="zh-CN"/>
              </w:rPr>
            </w:pPr>
            <w:r>
              <w:rPr>
                <w:rFonts w:hint="eastAsia"/>
                <w:lang w:eastAsia="zh-CN"/>
              </w:rPr>
              <w:t>b.投标文件组成齐全完整，内容均按规定填写；</w:t>
            </w:r>
          </w:p>
          <w:p w14:paraId="50D93652">
            <w:pPr>
              <w:rPr>
                <w:rFonts w:hint="eastAsia"/>
                <w:lang w:eastAsia="zh-CN"/>
              </w:rPr>
            </w:pPr>
            <w:r>
              <w:rPr>
                <w:rFonts w:hint="eastAsia"/>
                <w:lang w:eastAsia="zh-CN"/>
              </w:rPr>
              <w:t>（2）投标文件上法定代表人或其委托代理人的签字、投标人的单位章盖章齐全，符合招标文件规定：</w:t>
            </w:r>
          </w:p>
          <w:p w14:paraId="3805D556">
            <w:pPr>
              <w:rPr>
                <w:rFonts w:hint="eastAsia"/>
                <w:lang w:eastAsia="zh-CN"/>
              </w:rPr>
            </w:pPr>
            <w:r>
              <w:rPr>
                <w:rFonts w:hint="eastAsia"/>
                <w:lang w:eastAsia="zh-CN"/>
              </w:rPr>
              <w:t>（3）投标人按照招标文件的规定提供了投标保证金，满足投标人须知3.4.1 规定。</w:t>
            </w:r>
          </w:p>
          <w:p w14:paraId="52D60D26">
            <w:pPr>
              <w:rPr>
                <w:rFonts w:hint="eastAsia"/>
                <w:lang w:eastAsia="zh-CN"/>
              </w:rPr>
            </w:pPr>
            <w:r>
              <w:rPr>
                <w:rFonts w:hint="eastAsia"/>
                <w:lang w:eastAsia="zh-CN"/>
              </w:rPr>
              <w:t>（4）投标人法定代表人授权委托代理人签署投标文件的，须提交授权委托书，授权委托书的签字盖章符合招标文件规定。</w:t>
            </w:r>
          </w:p>
          <w:p w14:paraId="78C33A86">
            <w:pPr>
              <w:rPr>
                <w:rFonts w:hint="eastAsia"/>
                <w:lang w:eastAsia="zh-CN"/>
              </w:rPr>
            </w:pPr>
            <w:r>
              <w:rPr>
                <w:rFonts w:hint="eastAsia"/>
                <w:lang w:eastAsia="zh-CN"/>
              </w:rPr>
              <w:t>（5）投标人法定代表人亲自签署投标文件的，提供了法定代表人身份证明，法定代表人身份证明的签字盖章符合招标文件规定。</w:t>
            </w:r>
          </w:p>
          <w:p w14:paraId="74A93112">
            <w:pPr>
              <w:rPr>
                <w:rFonts w:hint="eastAsia"/>
                <w:lang w:eastAsia="zh-CN"/>
              </w:rPr>
            </w:pPr>
            <w:r>
              <w:rPr>
                <w:rFonts w:hint="eastAsia"/>
                <w:lang w:eastAsia="zh-CN"/>
              </w:rPr>
              <w:t>（6）投标人未以联合体形式投标。</w:t>
            </w:r>
          </w:p>
          <w:p w14:paraId="19CC6C43">
            <w:pPr>
              <w:rPr>
                <w:rFonts w:hint="eastAsia"/>
                <w:lang w:eastAsia="zh-CN"/>
              </w:rPr>
            </w:pPr>
            <w:r>
              <w:rPr>
                <w:rFonts w:hint="eastAsia"/>
                <w:lang w:eastAsia="zh-CN"/>
              </w:rPr>
              <w:t>（7）投标人未对本项目进行分包。</w:t>
            </w:r>
          </w:p>
          <w:p w14:paraId="52620F65">
            <w:pPr>
              <w:rPr>
                <w:rFonts w:hint="eastAsia"/>
                <w:lang w:eastAsia="zh-CN"/>
              </w:rPr>
            </w:pPr>
            <w:r>
              <w:rPr>
                <w:rFonts w:hint="eastAsia"/>
                <w:lang w:eastAsia="zh-CN"/>
              </w:rPr>
              <w:t>（8）同一投标人未对同一标段提交两个以上不同的投标文件。</w:t>
            </w:r>
          </w:p>
          <w:p w14:paraId="16F5735B">
            <w:pPr>
              <w:rPr>
                <w:rFonts w:hint="eastAsia"/>
                <w:lang w:eastAsia="zh-CN"/>
              </w:rPr>
            </w:pPr>
            <w:r>
              <w:rPr>
                <w:rFonts w:hint="eastAsia"/>
                <w:lang w:eastAsia="zh-CN"/>
              </w:rPr>
              <w:t>（9）投标文件中未出现有关投标报价的内容。</w:t>
            </w:r>
          </w:p>
          <w:p w14:paraId="61571F7B">
            <w:pPr>
              <w:rPr>
                <w:rFonts w:hint="eastAsia"/>
                <w:lang w:eastAsia="zh-CN"/>
              </w:rPr>
            </w:pPr>
            <w:r>
              <w:rPr>
                <w:rFonts w:hint="eastAsia"/>
                <w:lang w:eastAsia="zh-CN"/>
              </w:rPr>
              <w:t>（10）投标文件载明的招标项目完成期限未超过招标文件规定的时限。</w:t>
            </w:r>
          </w:p>
          <w:p w14:paraId="665F9F14">
            <w:pPr>
              <w:rPr>
                <w:rFonts w:hint="eastAsia"/>
                <w:lang w:eastAsia="zh-CN"/>
              </w:rPr>
            </w:pPr>
            <w:r>
              <w:rPr>
                <w:rFonts w:hint="eastAsia"/>
                <w:lang w:eastAsia="zh-CN"/>
              </w:rPr>
              <w:t>（11）投标人递交的投标文件与所投标段一致。</w:t>
            </w:r>
          </w:p>
          <w:p w14:paraId="7D66A398">
            <w:pPr>
              <w:rPr>
                <w:rFonts w:hint="eastAsia"/>
                <w:lang w:eastAsia="zh-CN"/>
              </w:rPr>
            </w:pPr>
            <w:r>
              <w:rPr>
                <w:rFonts w:hint="eastAsia"/>
                <w:lang w:eastAsia="zh-CN"/>
              </w:rPr>
              <w:t>（12）投标文件对招标文件的实质性要求和条件作出响应。</w:t>
            </w:r>
          </w:p>
          <w:p w14:paraId="659EFC8C">
            <w:pPr>
              <w:rPr>
                <w:rFonts w:hint="eastAsia"/>
                <w:lang w:eastAsia="zh-CN"/>
              </w:rPr>
            </w:pPr>
            <w:r>
              <w:rPr>
                <w:rFonts w:hint="eastAsia"/>
                <w:lang w:eastAsia="zh-CN"/>
              </w:rPr>
              <w:t>（13）投标文件中投标设备的主要技术指标满足招标文件（供货要求中的条款）的要求，并按照招标文件1.11.3 款规定提供相关材料。</w:t>
            </w:r>
          </w:p>
          <w:p w14:paraId="1F4B6A4B">
            <w:pPr>
              <w:rPr>
                <w:rFonts w:hint="eastAsia"/>
                <w:lang w:eastAsia="zh-CN"/>
              </w:rPr>
            </w:pPr>
            <w:r>
              <w:rPr>
                <w:rFonts w:hint="eastAsia"/>
                <w:lang w:eastAsia="zh-CN"/>
              </w:rPr>
              <w:t>（14）权利义务符合招标文件规定：</w:t>
            </w:r>
          </w:p>
          <w:p w14:paraId="2B397426">
            <w:pPr>
              <w:rPr>
                <w:rFonts w:hint="eastAsia"/>
                <w:lang w:eastAsia="zh-CN"/>
              </w:rPr>
            </w:pPr>
            <w:r>
              <w:rPr>
                <w:rFonts w:hint="eastAsia"/>
                <w:lang w:eastAsia="zh-CN"/>
              </w:rPr>
              <w:t>a.投标人应接受招标文件规定的风险划分原则，未提出新的风险划分办法；</w:t>
            </w:r>
          </w:p>
          <w:p w14:paraId="5629926C">
            <w:pPr>
              <w:rPr>
                <w:rFonts w:hint="eastAsia"/>
                <w:lang w:eastAsia="zh-CN"/>
              </w:rPr>
            </w:pPr>
            <w:r>
              <w:rPr>
                <w:rFonts w:hint="eastAsia"/>
                <w:lang w:eastAsia="zh-CN"/>
              </w:rPr>
              <w:t>b.投标人未增加发包人的责任范围，或减少投标人义务；</w:t>
            </w:r>
          </w:p>
          <w:p w14:paraId="13E3110E">
            <w:pPr>
              <w:rPr>
                <w:rFonts w:hint="eastAsia"/>
                <w:lang w:eastAsia="zh-CN"/>
              </w:rPr>
            </w:pPr>
            <w:r>
              <w:rPr>
                <w:rFonts w:hint="eastAsia"/>
                <w:lang w:eastAsia="zh-CN"/>
              </w:rPr>
              <w:t>c.投标人未提出不同的验收、计量、支付办法；</w:t>
            </w:r>
          </w:p>
          <w:p w14:paraId="0911F512">
            <w:pPr>
              <w:rPr>
                <w:rFonts w:hint="eastAsia"/>
                <w:lang w:eastAsia="zh-CN"/>
              </w:rPr>
            </w:pPr>
            <w:r>
              <w:rPr>
                <w:rFonts w:hint="eastAsia"/>
                <w:lang w:eastAsia="zh-CN"/>
              </w:rPr>
              <w:t>d.投标人对合同纠纷、事故处理办法未提出异议；</w:t>
            </w:r>
          </w:p>
          <w:p w14:paraId="10F362BF">
            <w:pPr>
              <w:rPr>
                <w:rFonts w:hint="eastAsia"/>
                <w:lang w:eastAsia="zh-CN"/>
              </w:rPr>
            </w:pPr>
            <w:r>
              <w:rPr>
                <w:rFonts w:hint="eastAsia"/>
                <w:lang w:eastAsia="zh-CN"/>
              </w:rPr>
              <w:t>e.投标人在投标活动中无欺诈行为；</w:t>
            </w:r>
          </w:p>
          <w:p w14:paraId="641FFD7F">
            <w:pPr>
              <w:rPr>
                <w:rFonts w:hint="eastAsia"/>
                <w:lang w:eastAsia="zh-CN"/>
              </w:rPr>
            </w:pPr>
            <w:r>
              <w:rPr>
                <w:rFonts w:hint="eastAsia"/>
                <w:lang w:eastAsia="zh-CN"/>
              </w:rPr>
              <w:t>f.投标人未对合同条款有重要保留。</w:t>
            </w:r>
          </w:p>
          <w:p w14:paraId="3A4CCF3F">
            <w:pPr>
              <w:rPr>
                <w:rFonts w:hint="eastAsia"/>
                <w:lang w:eastAsia="zh-CN"/>
              </w:rPr>
            </w:pPr>
            <w:r>
              <w:rPr>
                <w:lang w:eastAsia="zh-CN"/>
              </w:rPr>
              <w:t>第二信封（报价文件）评审标准：</w:t>
            </w:r>
          </w:p>
          <w:p w14:paraId="2FB7831F">
            <w:pPr>
              <w:rPr>
                <w:rFonts w:hint="eastAsia"/>
                <w:lang w:eastAsia="zh-CN"/>
              </w:rPr>
            </w:pPr>
            <w:r>
              <w:rPr>
                <w:rFonts w:hint="eastAsia"/>
                <w:lang w:eastAsia="zh-CN"/>
              </w:rPr>
              <w:t>（1）投标文件按照招标文件规定的格式、内容填写，字迹清晰可辨：</w:t>
            </w:r>
          </w:p>
          <w:p w14:paraId="2E2E10EF">
            <w:pPr>
              <w:rPr>
                <w:rFonts w:hint="eastAsia"/>
                <w:lang w:eastAsia="zh-CN"/>
              </w:rPr>
            </w:pPr>
            <w:r>
              <w:rPr>
                <w:rFonts w:hint="eastAsia"/>
                <w:lang w:eastAsia="zh-CN"/>
              </w:rPr>
              <w:t>a.投标函按照招标文件规定填报了招标人名称、项目名称、</w:t>
            </w:r>
            <w:r>
              <w:rPr>
                <w:lang w:eastAsia="zh-CN"/>
              </w:rPr>
              <w:t>标段号</w:t>
            </w:r>
            <w:r>
              <w:rPr>
                <w:rFonts w:hint="eastAsia"/>
                <w:lang w:eastAsia="zh-CN"/>
              </w:rPr>
              <w:t>、补遗书编号（如有）、投标报价（包括大写金额和小写金额）；</w:t>
            </w:r>
          </w:p>
          <w:p w14:paraId="384C5E0B">
            <w:pPr>
              <w:rPr>
                <w:rFonts w:hint="eastAsia"/>
                <w:lang w:eastAsia="zh-CN"/>
              </w:rPr>
            </w:pPr>
            <w:r>
              <w:rPr>
                <w:rFonts w:hint="eastAsia"/>
                <w:lang w:eastAsia="zh-CN"/>
              </w:rPr>
              <w:t>b.投标文件组成齐全完整，内容均按规定填写。</w:t>
            </w:r>
          </w:p>
          <w:p w14:paraId="64C08ED5">
            <w:pPr>
              <w:rPr>
                <w:rFonts w:hint="eastAsia"/>
                <w:lang w:eastAsia="zh-CN"/>
              </w:rPr>
            </w:pPr>
            <w:r>
              <w:rPr>
                <w:rFonts w:hint="eastAsia"/>
                <w:lang w:eastAsia="zh-CN"/>
              </w:rPr>
              <w:t>（2）投标文件上法定代表人或委托代理人的签字、投标人的单位章盖章齐全，符合招标文件规定。</w:t>
            </w:r>
          </w:p>
          <w:p w14:paraId="4A345C1E">
            <w:pPr>
              <w:rPr>
                <w:rFonts w:hint="eastAsia"/>
                <w:lang w:eastAsia="zh-CN"/>
              </w:rPr>
            </w:pPr>
            <w:r>
              <w:rPr>
                <w:rFonts w:hint="eastAsia"/>
                <w:lang w:eastAsia="zh-CN"/>
              </w:rPr>
              <w:t>（3）投标报价未超过招标文件设定的所投标段的最高投标限价。</w:t>
            </w:r>
          </w:p>
          <w:p w14:paraId="55BEC376">
            <w:pPr>
              <w:rPr>
                <w:rFonts w:hint="eastAsia"/>
                <w:lang w:eastAsia="zh-CN"/>
              </w:rPr>
            </w:pPr>
            <w:r>
              <w:rPr>
                <w:rFonts w:hint="eastAsia"/>
                <w:lang w:eastAsia="zh-CN"/>
              </w:rPr>
              <w:t>（4）投标报价的大写金额能够确定具体数值。</w:t>
            </w:r>
          </w:p>
          <w:p w14:paraId="125D7A89">
            <w:pPr>
              <w:rPr>
                <w:rFonts w:hint="eastAsia"/>
                <w:lang w:eastAsia="zh-CN"/>
              </w:rPr>
            </w:pPr>
            <w:r>
              <w:rPr>
                <w:rFonts w:hint="eastAsia"/>
                <w:lang w:eastAsia="zh-CN"/>
              </w:rPr>
              <w:t>（5）同一投标人对同一标段未提交两个及以上不同的投标报价。</w:t>
            </w:r>
          </w:p>
          <w:p w14:paraId="27328621">
            <w:pPr>
              <w:rPr>
                <w:rFonts w:hint="eastAsia"/>
                <w:lang w:eastAsia="zh-CN"/>
              </w:rPr>
            </w:pPr>
            <w:r>
              <w:rPr>
                <w:rFonts w:hint="eastAsia"/>
                <w:lang w:eastAsia="zh-CN"/>
              </w:rPr>
              <w:t>（6）分项报价表中合计金额与投标函投标报价大写金额一致。</w:t>
            </w:r>
          </w:p>
          <w:p w14:paraId="585067D8">
            <w:pPr>
              <w:rPr>
                <w:rFonts w:hint="eastAsia"/>
                <w:lang w:eastAsia="zh-CN"/>
              </w:rPr>
            </w:pPr>
            <w:r>
              <w:rPr>
                <w:rFonts w:hint="eastAsia"/>
                <w:lang w:eastAsia="zh-CN"/>
              </w:rPr>
              <w:t>（7）</w:t>
            </w:r>
            <w:r>
              <w:rPr>
                <w:lang w:eastAsia="zh-CN"/>
              </w:rPr>
              <w:t>投标人递交的投标文件与所投标段一致</w:t>
            </w:r>
            <w:r>
              <w:rPr>
                <w:rFonts w:hint="eastAsia"/>
                <w:lang w:eastAsia="zh-CN"/>
              </w:rPr>
              <w:t>。</w:t>
            </w:r>
          </w:p>
        </w:tc>
      </w:tr>
      <w:tr w14:paraId="3512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44" w:hRule="atLeast"/>
          <w:jc w:val="center"/>
        </w:trPr>
        <w:tc>
          <w:tcPr>
            <w:tcW w:w="1143" w:type="dxa"/>
            <w:vAlign w:val="center"/>
          </w:tcPr>
          <w:p w14:paraId="3E1E7291">
            <w:pPr>
              <w:rPr>
                <w:rFonts w:hint="eastAsia"/>
                <w:lang w:eastAsia="zh-CN"/>
              </w:rPr>
            </w:pPr>
            <w:r>
              <w:rPr>
                <w:lang w:eastAsia="zh-CN"/>
              </w:rPr>
              <w:t>2.1.2</w:t>
            </w:r>
          </w:p>
        </w:tc>
        <w:tc>
          <w:tcPr>
            <w:tcW w:w="1317" w:type="dxa"/>
            <w:vAlign w:val="center"/>
          </w:tcPr>
          <w:p w14:paraId="311E0C14">
            <w:pPr>
              <w:rPr>
                <w:rFonts w:hint="eastAsia"/>
                <w:lang w:eastAsia="zh-CN"/>
              </w:rPr>
            </w:pPr>
            <w:r>
              <w:rPr>
                <w:lang w:eastAsia="zh-CN"/>
              </w:rPr>
              <w:t>资格评审标准</w:t>
            </w:r>
          </w:p>
        </w:tc>
        <w:tc>
          <w:tcPr>
            <w:tcW w:w="7197" w:type="dxa"/>
            <w:vAlign w:val="center"/>
          </w:tcPr>
          <w:p w14:paraId="68C22837">
            <w:pPr>
              <w:rPr>
                <w:rFonts w:hint="eastAsia"/>
                <w:lang w:eastAsia="zh-CN"/>
              </w:rPr>
            </w:pPr>
            <w:r>
              <w:rPr>
                <w:rFonts w:hint="eastAsia"/>
                <w:lang w:eastAsia="zh-CN"/>
              </w:rPr>
              <w:t>（1）投标人具备有效的企业营业执照和基本账户开户许可证（或基本存款账户信息）；</w:t>
            </w:r>
          </w:p>
          <w:p w14:paraId="7B8DB4B9">
            <w:pPr>
              <w:rPr>
                <w:rFonts w:hint="eastAsia"/>
                <w:lang w:eastAsia="zh-CN"/>
              </w:rPr>
            </w:pPr>
            <w:r>
              <w:rPr>
                <w:rFonts w:hint="eastAsia"/>
                <w:lang w:eastAsia="zh-CN"/>
              </w:rPr>
              <w:t>（2）投标人的资质符合招标文件规定；</w:t>
            </w:r>
          </w:p>
          <w:p w14:paraId="065B08E2">
            <w:pPr>
              <w:rPr>
                <w:rFonts w:hint="eastAsia"/>
                <w:lang w:eastAsia="zh-CN"/>
              </w:rPr>
            </w:pPr>
            <w:r>
              <w:rPr>
                <w:rFonts w:hint="eastAsia"/>
                <w:lang w:eastAsia="zh-CN"/>
              </w:rPr>
              <w:t>（3）投标人的类似项目业绩符合招标文件规定；</w:t>
            </w:r>
          </w:p>
          <w:p w14:paraId="6D707A53">
            <w:pPr>
              <w:rPr>
                <w:rFonts w:hint="eastAsia"/>
                <w:lang w:eastAsia="zh-CN"/>
              </w:rPr>
            </w:pPr>
            <w:r>
              <w:rPr>
                <w:rFonts w:hint="eastAsia"/>
                <w:lang w:eastAsia="zh-CN"/>
              </w:rPr>
              <w:t>（4）投标人的信誉符合招标文件规定；</w:t>
            </w:r>
          </w:p>
          <w:p w14:paraId="0F11B326">
            <w:pPr>
              <w:rPr>
                <w:rFonts w:hint="eastAsia"/>
                <w:lang w:eastAsia="zh-CN"/>
              </w:rPr>
            </w:pPr>
            <w:r>
              <w:rPr>
                <w:rFonts w:hint="eastAsia"/>
                <w:lang w:eastAsia="zh-CN"/>
              </w:rPr>
              <w:t>（5）投标人不存在第二章“投标人须知”第1.4.3 项规定的任何一种情形。</w:t>
            </w:r>
          </w:p>
        </w:tc>
      </w:tr>
      <w:tr w14:paraId="274A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1E525D85">
            <w:pPr>
              <w:rPr>
                <w:rFonts w:hint="eastAsia"/>
                <w:lang w:eastAsia="zh-CN"/>
              </w:rPr>
            </w:pPr>
            <w:r>
              <w:rPr>
                <w:lang w:eastAsia="zh-CN"/>
              </w:rPr>
              <w:t>条款号</w:t>
            </w:r>
          </w:p>
        </w:tc>
        <w:tc>
          <w:tcPr>
            <w:tcW w:w="1317" w:type="dxa"/>
            <w:vAlign w:val="center"/>
          </w:tcPr>
          <w:p w14:paraId="58DA8637">
            <w:pPr>
              <w:rPr>
                <w:rFonts w:hint="eastAsia"/>
                <w:lang w:eastAsia="zh-CN"/>
              </w:rPr>
            </w:pPr>
            <w:r>
              <w:rPr>
                <w:lang w:eastAsia="zh-CN"/>
              </w:rPr>
              <w:t>条款内容</w:t>
            </w:r>
          </w:p>
        </w:tc>
        <w:tc>
          <w:tcPr>
            <w:tcW w:w="7197" w:type="dxa"/>
            <w:vAlign w:val="center"/>
          </w:tcPr>
          <w:p w14:paraId="525BD015">
            <w:pPr>
              <w:rPr>
                <w:rFonts w:hint="eastAsia"/>
                <w:lang w:eastAsia="zh-CN"/>
              </w:rPr>
            </w:pPr>
            <w:r>
              <w:rPr>
                <w:lang w:eastAsia="zh-CN"/>
              </w:rPr>
              <w:t>编列内容</w:t>
            </w:r>
          </w:p>
        </w:tc>
      </w:tr>
      <w:tr w14:paraId="6D05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764B93C6">
            <w:pPr>
              <w:rPr>
                <w:rFonts w:hint="eastAsia"/>
                <w:lang w:eastAsia="zh-CN"/>
              </w:rPr>
            </w:pPr>
            <w:r>
              <w:rPr>
                <w:lang w:eastAsia="zh-CN"/>
              </w:rPr>
              <w:t>2.2.1</w:t>
            </w:r>
          </w:p>
        </w:tc>
        <w:tc>
          <w:tcPr>
            <w:tcW w:w="1317" w:type="dxa"/>
            <w:vAlign w:val="center"/>
          </w:tcPr>
          <w:p w14:paraId="4C71147B">
            <w:pPr>
              <w:rPr>
                <w:rFonts w:hint="eastAsia"/>
                <w:lang w:eastAsia="zh-CN"/>
              </w:rPr>
            </w:pPr>
            <w:r>
              <w:rPr>
                <w:lang w:eastAsia="zh-CN"/>
              </w:rPr>
              <w:t>第一个信封分值构成</w:t>
            </w:r>
          </w:p>
          <w:p w14:paraId="292B8EC6">
            <w:pPr>
              <w:rPr>
                <w:rFonts w:hint="eastAsia"/>
                <w:lang w:eastAsia="zh-CN"/>
              </w:rPr>
            </w:pPr>
            <w:r>
              <w:rPr>
                <w:lang w:eastAsia="zh-CN"/>
              </w:rPr>
              <w:t>（总分100分）</w:t>
            </w:r>
          </w:p>
        </w:tc>
        <w:tc>
          <w:tcPr>
            <w:tcW w:w="7197" w:type="dxa"/>
            <w:vAlign w:val="center"/>
          </w:tcPr>
          <w:p w14:paraId="0710FE7A">
            <w:pPr>
              <w:rPr>
                <w:rFonts w:hint="eastAsia"/>
                <w:lang w:eastAsia="zh-CN"/>
              </w:rPr>
            </w:pPr>
            <w:r>
              <w:rPr>
                <w:rFonts w:hint="eastAsia"/>
                <w:lang w:eastAsia="zh-CN"/>
              </w:rPr>
              <w:t>技术部分：80 分</w:t>
            </w:r>
          </w:p>
          <w:p w14:paraId="31FF38CE">
            <w:pPr>
              <w:rPr>
                <w:rFonts w:hint="eastAsia"/>
                <w:lang w:eastAsia="zh-CN"/>
              </w:rPr>
            </w:pPr>
            <w:r>
              <w:rPr>
                <w:rFonts w:hint="eastAsia"/>
                <w:lang w:eastAsia="zh-CN"/>
              </w:rPr>
              <w:t>商务部分：20 分</w:t>
            </w:r>
          </w:p>
          <w:p w14:paraId="2733104D">
            <w:pPr>
              <w:rPr>
                <w:rFonts w:hint="eastAsia"/>
                <w:lang w:eastAsia="zh-CN"/>
              </w:rPr>
            </w:pPr>
            <w:r>
              <w:rPr>
                <w:rFonts w:hint="eastAsia"/>
                <w:lang w:eastAsia="zh-CN"/>
              </w:rPr>
              <w:t>其他评分因素：0 分</w:t>
            </w:r>
          </w:p>
        </w:tc>
      </w:tr>
      <w:tr w14:paraId="0A1B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7AEF4C40">
            <w:pPr>
              <w:rPr>
                <w:rFonts w:hint="eastAsia"/>
                <w:lang w:eastAsia="zh-CN"/>
              </w:rPr>
            </w:pPr>
            <w:r>
              <w:rPr>
                <w:lang w:eastAsia="zh-CN"/>
              </w:rPr>
              <w:t>2.2.3</w:t>
            </w:r>
          </w:p>
        </w:tc>
        <w:tc>
          <w:tcPr>
            <w:tcW w:w="1317" w:type="dxa"/>
            <w:vAlign w:val="center"/>
          </w:tcPr>
          <w:p w14:paraId="494D25F7">
            <w:pPr>
              <w:rPr>
                <w:rFonts w:hint="eastAsia"/>
                <w:lang w:eastAsia="zh-CN"/>
              </w:rPr>
            </w:pPr>
            <w:r>
              <w:rPr>
                <w:lang w:eastAsia="zh-CN"/>
              </w:rPr>
              <w:t>第二个信封详细评审标准</w:t>
            </w:r>
          </w:p>
        </w:tc>
        <w:tc>
          <w:tcPr>
            <w:tcW w:w="7197" w:type="dxa"/>
            <w:vAlign w:val="center"/>
          </w:tcPr>
          <w:p w14:paraId="2FB6522B">
            <w:pPr>
              <w:rPr>
                <w:rFonts w:hint="eastAsia"/>
                <w:lang w:eastAsia="zh-CN"/>
              </w:rPr>
            </w:pPr>
            <w:r>
              <w:rPr>
                <w:rFonts w:hint="eastAsia"/>
                <w:lang w:eastAsia="zh-CN"/>
              </w:rPr>
              <w:t>评标价计算公式：</w:t>
            </w:r>
          </w:p>
          <w:p w14:paraId="007B0282">
            <w:pPr>
              <w:rPr>
                <w:rFonts w:hint="eastAsia"/>
                <w:lang w:eastAsia="zh-CN"/>
              </w:rPr>
            </w:pPr>
            <w:r>
              <w:rPr>
                <w:rFonts w:hint="eastAsia"/>
                <w:lang w:eastAsia="zh-CN"/>
              </w:rPr>
              <w:t>评标价=投标函文字报价。</w:t>
            </w:r>
          </w:p>
        </w:tc>
      </w:tr>
      <w:tr w14:paraId="516F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6AC3DE2F">
            <w:pPr>
              <w:rPr>
                <w:rFonts w:hint="eastAsia"/>
                <w:lang w:eastAsia="zh-CN"/>
              </w:rPr>
            </w:pPr>
            <w:r>
              <w:rPr>
                <w:lang w:eastAsia="zh-CN"/>
              </w:rPr>
              <w:t>3.2.4</w:t>
            </w:r>
          </w:p>
        </w:tc>
        <w:tc>
          <w:tcPr>
            <w:tcW w:w="1317" w:type="dxa"/>
            <w:vAlign w:val="center"/>
          </w:tcPr>
          <w:p w14:paraId="772F9F1A">
            <w:pPr>
              <w:rPr>
                <w:rFonts w:hint="eastAsia"/>
                <w:lang w:eastAsia="zh-CN"/>
              </w:rPr>
            </w:pPr>
            <w:r>
              <w:rPr>
                <w:rFonts w:hint="eastAsia"/>
                <w:lang w:eastAsia="zh-CN"/>
              </w:rPr>
              <w:t>通过第一个信封详细评审的投标人数量</w:t>
            </w:r>
          </w:p>
        </w:tc>
        <w:tc>
          <w:tcPr>
            <w:tcW w:w="7197" w:type="dxa"/>
            <w:vAlign w:val="center"/>
          </w:tcPr>
          <w:p w14:paraId="78F7B1DC">
            <w:pPr>
              <w:rPr>
                <w:rFonts w:hint="eastAsia"/>
                <w:lang w:eastAsia="zh-CN"/>
              </w:rPr>
            </w:pPr>
            <w:r>
              <w:rPr>
                <w:lang w:eastAsia="zh-CN"/>
              </w:rPr>
              <w:t>按照投标人的综合得分由高到低排序，选择前3 名进入第二信封评审。</w:t>
            </w:r>
          </w:p>
        </w:tc>
      </w:tr>
      <w:tr w14:paraId="5B01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2460" w:type="dxa"/>
            <w:gridSpan w:val="2"/>
            <w:vAlign w:val="center"/>
          </w:tcPr>
          <w:p w14:paraId="357F2594">
            <w:pPr>
              <w:rPr>
                <w:rFonts w:hint="eastAsia"/>
                <w:lang w:eastAsia="zh-CN"/>
              </w:rPr>
            </w:pPr>
            <w:r>
              <w:rPr>
                <w:rFonts w:hint="eastAsia"/>
                <w:lang w:eastAsia="zh-CN"/>
              </w:rPr>
              <w:t>3.5.3异常低价评审</w:t>
            </w:r>
          </w:p>
        </w:tc>
        <w:tc>
          <w:tcPr>
            <w:tcW w:w="7197" w:type="dxa"/>
            <w:vAlign w:val="center"/>
          </w:tcPr>
          <w:p w14:paraId="69D1736F">
            <w:pPr>
              <w:rPr>
                <w:rFonts w:hint="eastAsia"/>
                <w:lang w:eastAsia="zh-CN"/>
              </w:rPr>
            </w:pPr>
            <w:r>
              <w:rPr>
                <w:rFonts w:hint="eastAsia"/>
                <w:lang w:eastAsia="zh-CN"/>
              </w:rPr>
              <w:t>本款增加：</w:t>
            </w:r>
          </w:p>
          <w:p w14:paraId="23464CE8">
            <w:pPr>
              <w:rPr>
                <w:rFonts w:hint="eastAsia"/>
                <w:lang w:eastAsia="zh-CN"/>
              </w:rPr>
            </w:pPr>
            <w:r>
              <w:rPr>
                <w:rFonts w:hint="eastAsia"/>
                <w:lang w:eastAsia="zh-CN"/>
              </w:rPr>
              <w:t>评标委员会发现投标人的投标报价低于最高投标限价的60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2440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87" w:hRule="atLeast"/>
          <w:jc w:val="center"/>
        </w:trPr>
        <w:tc>
          <w:tcPr>
            <w:tcW w:w="1143" w:type="dxa"/>
            <w:vAlign w:val="center"/>
          </w:tcPr>
          <w:p w14:paraId="55AD10A3">
            <w:pPr>
              <w:rPr>
                <w:rFonts w:hint="eastAsia"/>
                <w:lang w:eastAsia="zh-CN"/>
              </w:rPr>
            </w:pPr>
            <w:r>
              <w:rPr>
                <w:lang w:eastAsia="zh-CN"/>
              </w:rPr>
              <w:t>3.6.1</w:t>
            </w:r>
          </w:p>
        </w:tc>
        <w:tc>
          <w:tcPr>
            <w:tcW w:w="1317" w:type="dxa"/>
            <w:vAlign w:val="center"/>
          </w:tcPr>
          <w:p w14:paraId="6B6415C7">
            <w:pPr>
              <w:rPr>
                <w:rFonts w:hint="eastAsia"/>
                <w:lang w:eastAsia="zh-CN"/>
              </w:rPr>
            </w:pPr>
            <w:r>
              <w:rPr>
                <w:lang w:eastAsia="zh-CN"/>
              </w:rPr>
              <w:t>投标文件相关信息核查</w:t>
            </w:r>
          </w:p>
        </w:tc>
        <w:tc>
          <w:tcPr>
            <w:tcW w:w="7197" w:type="dxa"/>
            <w:vAlign w:val="center"/>
          </w:tcPr>
          <w:p w14:paraId="79A467F4">
            <w:pPr>
              <w:rPr>
                <w:rFonts w:hint="eastAsia"/>
                <w:lang w:eastAsia="zh-CN"/>
              </w:rPr>
            </w:pPr>
            <w:r>
              <w:rPr>
                <w:lang w:eastAsia="zh-CN"/>
              </w:rPr>
              <w:t>本款修改为:</w:t>
            </w:r>
          </w:p>
          <w:p w14:paraId="3334F4CD">
            <w:pPr>
              <w:rPr>
                <w:rFonts w:hint="eastAsia"/>
                <w:lang w:eastAsia="zh-CN"/>
              </w:rPr>
            </w:pPr>
            <w:r>
              <w:rPr>
                <w:lang w:eastAsia="zh-CN"/>
              </w:rPr>
              <w:t>1.评标委员会在评标过程中将对投标人的信誉情况进行查询。如投标人存在下列情形之一的，评标委员会应否决其投标。</w:t>
            </w:r>
          </w:p>
          <w:p w14:paraId="11A02B60">
            <w:pPr>
              <w:rPr>
                <w:rFonts w:hint="eastAsia"/>
                <w:lang w:eastAsia="zh-CN"/>
              </w:rPr>
            </w:pPr>
            <w:r>
              <w:rPr>
                <w:lang w:eastAsia="zh-CN"/>
              </w:rPr>
              <w:t>（1）投标人在国家企业信用信息公示系统（http://www.gsxt.gov.cn/）中未被列入严重违法失信名单（黑名单）信息（不含分公司）；</w:t>
            </w:r>
          </w:p>
          <w:p w14:paraId="48ACBF9E">
            <w:pPr>
              <w:rPr>
                <w:rFonts w:hint="eastAsia"/>
                <w:lang w:eastAsia="zh-CN"/>
              </w:rPr>
            </w:pPr>
            <w:r>
              <w:rPr>
                <w:lang w:eastAsia="zh-CN"/>
              </w:rPr>
              <w:t>（2）投标人在“信用中国”网站（http://www.creditchina.gov.cn/）中未被列入失信被执行人（或中国执行信息公开网http://zxgk.court.gov.cn/shixin/被执行人查询）、经营（活动）异常名录信息查询、重大税收违法失信主体、政府采购严重违法失信行为记录名单（均不含分公司）；</w:t>
            </w:r>
          </w:p>
          <w:p w14:paraId="263FDDA7">
            <w:pPr>
              <w:rPr>
                <w:lang w:eastAsia="zh-CN"/>
              </w:rPr>
            </w:pPr>
            <w:r>
              <w:rPr>
                <w:lang w:eastAsia="zh-CN"/>
              </w:rPr>
              <w:t>注：以上查询结果以开标当日查询结果为准。</w:t>
            </w:r>
          </w:p>
          <w:p w14:paraId="7B270D8E">
            <w:pPr>
              <w:rPr>
                <w:rFonts w:hint="eastAsia"/>
                <w:lang w:eastAsia="zh-CN"/>
              </w:rPr>
            </w:pPr>
            <w:r>
              <w:rPr>
                <w:lang w:eastAsia="zh-CN"/>
              </w:rPr>
              <w:t>2.评标委员会在评标时按照投标人提供的验证方式对电子保函或电子保证保险进行验证。如投标人未提供电子保函或电子保证保险的验证方式，或根据提供的验证方式无法核实的，评标委员会应否决其投标。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2220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77" w:hRule="atLeast"/>
          <w:jc w:val="center"/>
        </w:trPr>
        <w:tc>
          <w:tcPr>
            <w:tcW w:w="1143" w:type="dxa"/>
            <w:vAlign w:val="center"/>
          </w:tcPr>
          <w:p w14:paraId="469ED4CD">
            <w:pPr>
              <w:rPr>
                <w:rFonts w:hint="eastAsia"/>
                <w:lang w:eastAsia="zh-CN"/>
              </w:rPr>
            </w:pPr>
            <w:r>
              <w:rPr>
                <w:lang w:eastAsia="zh-CN"/>
              </w:rPr>
              <w:t>3.6.3</w:t>
            </w:r>
          </w:p>
        </w:tc>
        <w:tc>
          <w:tcPr>
            <w:tcW w:w="1317" w:type="dxa"/>
            <w:vAlign w:val="center"/>
          </w:tcPr>
          <w:p w14:paraId="56569F61">
            <w:pPr>
              <w:rPr>
                <w:rFonts w:hint="eastAsia"/>
                <w:lang w:eastAsia="zh-CN"/>
              </w:rPr>
            </w:pPr>
            <w:r>
              <w:rPr>
                <w:rFonts w:hint="eastAsia"/>
                <w:lang w:eastAsia="zh-CN"/>
              </w:rPr>
              <w:t>投标人其他</w:t>
            </w:r>
          </w:p>
          <w:p w14:paraId="542D1D16">
            <w:pPr>
              <w:rPr>
                <w:rFonts w:hint="eastAsia"/>
                <w:lang w:eastAsia="zh-CN"/>
              </w:rPr>
            </w:pPr>
            <w:r>
              <w:rPr>
                <w:rFonts w:hint="eastAsia"/>
                <w:lang w:eastAsia="zh-CN"/>
              </w:rPr>
              <w:t>异常投标情</w:t>
            </w:r>
          </w:p>
          <w:p w14:paraId="61C1AE74">
            <w:pPr>
              <w:rPr>
                <w:rFonts w:hint="eastAsia"/>
                <w:lang w:eastAsia="zh-CN"/>
              </w:rPr>
            </w:pPr>
            <w:r>
              <w:rPr>
                <w:rFonts w:hint="eastAsia"/>
                <w:lang w:eastAsia="zh-CN"/>
              </w:rPr>
              <w:t>形</w:t>
            </w:r>
          </w:p>
        </w:tc>
        <w:tc>
          <w:tcPr>
            <w:tcW w:w="7197" w:type="dxa"/>
            <w:vAlign w:val="center"/>
          </w:tcPr>
          <w:p w14:paraId="5E4E93B2">
            <w:pPr>
              <w:rPr>
                <w:rFonts w:hint="eastAsia"/>
                <w:lang w:eastAsia="zh-CN"/>
              </w:rPr>
            </w:pPr>
            <w:r>
              <w:rPr>
                <w:rFonts w:hint="eastAsia"/>
                <w:lang w:eastAsia="zh-CN"/>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投标文件异常一致或投标活动异常关联等异常投标情形，并否决其投标。</w:t>
            </w:r>
          </w:p>
          <w:p w14:paraId="078501AA">
            <w:pPr>
              <w:rPr>
                <w:rFonts w:hint="eastAsia"/>
                <w:lang w:eastAsia="zh-CN"/>
              </w:rPr>
            </w:pPr>
            <w:r>
              <w:rPr>
                <w:rFonts w:hint="eastAsia"/>
                <w:lang w:eastAsia="zh-CN"/>
              </w:rPr>
              <w:t>有下列情形之一的，属于投标文件异常一致或投标活动异常关联等异常投标情形：</w:t>
            </w:r>
          </w:p>
          <w:p w14:paraId="149D7CC0">
            <w:pPr>
              <w:rPr>
                <w:rFonts w:hint="eastAsia"/>
                <w:lang w:eastAsia="zh-CN"/>
              </w:rPr>
            </w:pPr>
            <w:r>
              <w:rPr>
                <w:rFonts w:hint="eastAsia"/>
                <w:lang w:eastAsia="zh-CN"/>
              </w:rPr>
              <w:t>（1）投标人投标文件制作机器码雷同；</w:t>
            </w:r>
          </w:p>
          <w:p w14:paraId="78C788BF">
            <w:pPr>
              <w:rPr>
                <w:rFonts w:hint="eastAsia"/>
                <w:lang w:eastAsia="zh-CN"/>
              </w:rPr>
            </w:pPr>
            <w:r>
              <w:rPr>
                <w:rFonts w:hint="eastAsia"/>
                <w:lang w:eastAsia="zh-CN"/>
              </w:rPr>
              <w:t>（2）投标文件创建标识码雷同；</w:t>
            </w:r>
          </w:p>
          <w:p w14:paraId="19D5EDAB">
            <w:pPr>
              <w:rPr>
                <w:rFonts w:hint="eastAsia"/>
                <w:lang w:eastAsia="zh-CN"/>
              </w:rPr>
            </w:pPr>
            <w:r>
              <w:rPr>
                <w:rFonts w:hint="eastAsia"/>
                <w:lang w:eastAsia="zh-CN"/>
              </w:rPr>
              <w:t>（3）投标文件制作计算机MAC 地址雷同；</w:t>
            </w:r>
          </w:p>
          <w:p w14:paraId="3F0B6A59">
            <w:pPr>
              <w:rPr>
                <w:rFonts w:hint="eastAsia"/>
                <w:lang w:eastAsia="zh-CN"/>
              </w:rPr>
            </w:pPr>
            <w:r>
              <w:rPr>
                <w:rFonts w:hint="eastAsia"/>
                <w:lang w:eastAsia="zh-CN"/>
              </w:rPr>
              <w:t>（4）投标文件制作计算机硬盘序列号雷同；</w:t>
            </w:r>
          </w:p>
          <w:p w14:paraId="33FBBF22">
            <w:pPr>
              <w:rPr>
                <w:rFonts w:hint="eastAsia"/>
                <w:lang w:eastAsia="zh-CN"/>
              </w:rPr>
            </w:pPr>
            <w:r>
              <w:rPr>
                <w:rFonts w:hint="eastAsia"/>
                <w:lang w:eastAsia="zh-CN"/>
              </w:rPr>
              <w:t>（5）招标文件下载IP 地址雷同；</w:t>
            </w:r>
          </w:p>
          <w:p w14:paraId="5BE05D48">
            <w:pPr>
              <w:rPr>
                <w:rFonts w:hint="eastAsia"/>
                <w:lang w:eastAsia="zh-CN"/>
              </w:rPr>
            </w:pPr>
            <w:r>
              <w:rPr>
                <w:rFonts w:hint="eastAsia"/>
                <w:lang w:eastAsia="zh-CN"/>
              </w:rPr>
              <w:t>（6）投标文件上传IP 地址雷同；</w:t>
            </w:r>
          </w:p>
          <w:p w14:paraId="49677C81">
            <w:pPr>
              <w:rPr>
                <w:rFonts w:hint="eastAsia"/>
                <w:lang w:eastAsia="zh-CN"/>
              </w:rPr>
            </w:pPr>
            <w:r>
              <w:rPr>
                <w:rFonts w:hint="eastAsia"/>
                <w:lang w:eastAsia="zh-CN"/>
              </w:rPr>
              <w:t>（7）投标文件解密IP 地址雷同。</w:t>
            </w:r>
          </w:p>
        </w:tc>
      </w:tr>
      <w:bookmarkEnd w:id="3"/>
    </w:tbl>
    <w:p w14:paraId="4BB20375">
      <w:pPr>
        <w:rPr>
          <w:rFonts w:hint="eastAsia"/>
          <w:lang w:eastAsia="zh-CN"/>
        </w:rPr>
      </w:pPr>
      <w:r>
        <w:rPr>
          <w:lang w:eastAsia="zh-CN"/>
        </w:rPr>
        <w:br w:type="page"/>
      </w:r>
      <w:r>
        <w:rPr>
          <w:lang w:eastAsia="zh-CN"/>
        </w:rPr>
        <w:t>评分因素与权重分值</w:t>
      </w:r>
    </w:p>
    <w:tbl>
      <w:tblPr>
        <w:tblStyle w:val="4"/>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134"/>
        <w:gridCol w:w="2126"/>
        <w:gridCol w:w="1003"/>
        <w:gridCol w:w="4480"/>
      </w:tblGrid>
      <w:tr w14:paraId="523B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blHeader/>
          <w:jc w:val="center"/>
        </w:trPr>
        <w:tc>
          <w:tcPr>
            <w:tcW w:w="977" w:type="dxa"/>
            <w:tcBorders>
              <w:top w:val="single" w:color="auto" w:sz="4" w:space="0"/>
              <w:left w:val="single" w:color="auto" w:sz="4" w:space="0"/>
              <w:bottom w:val="single" w:color="auto" w:sz="4" w:space="0"/>
              <w:right w:val="single" w:color="auto" w:sz="4" w:space="0"/>
            </w:tcBorders>
            <w:vAlign w:val="center"/>
          </w:tcPr>
          <w:p w14:paraId="073B6E8F">
            <w:pPr>
              <w:rPr>
                <w:rFonts w:hint="eastAsia"/>
                <w:lang w:eastAsia="zh-CN"/>
              </w:rPr>
            </w:pPr>
            <w:r>
              <w:rPr>
                <w:lang w:eastAsia="zh-CN"/>
              </w:rPr>
              <w:t>条款号</w:t>
            </w:r>
          </w:p>
        </w:tc>
        <w:tc>
          <w:tcPr>
            <w:tcW w:w="1134" w:type="dxa"/>
            <w:tcBorders>
              <w:top w:val="single" w:color="auto" w:sz="4" w:space="0"/>
              <w:left w:val="single" w:color="auto" w:sz="4" w:space="0"/>
              <w:bottom w:val="single" w:color="auto" w:sz="4" w:space="0"/>
              <w:right w:val="single" w:color="auto" w:sz="4" w:space="0"/>
            </w:tcBorders>
            <w:vAlign w:val="center"/>
          </w:tcPr>
          <w:p w14:paraId="0E0D0944">
            <w:pPr>
              <w:rPr>
                <w:rFonts w:hint="eastAsia"/>
                <w:lang w:eastAsia="zh-CN"/>
              </w:rPr>
            </w:pPr>
            <w:r>
              <w:rPr>
                <w:lang w:eastAsia="zh-CN"/>
              </w:rPr>
              <w:t>评分因素及分值</w:t>
            </w:r>
          </w:p>
        </w:tc>
        <w:tc>
          <w:tcPr>
            <w:tcW w:w="3129" w:type="dxa"/>
            <w:gridSpan w:val="2"/>
            <w:tcBorders>
              <w:top w:val="single" w:color="auto" w:sz="4" w:space="0"/>
              <w:left w:val="single" w:color="auto" w:sz="4" w:space="0"/>
              <w:bottom w:val="single" w:color="auto" w:sz="4" w:space="0"/>
              <w:right w:val="single" w:color="auto" w:sz="4" w:space="0"/>
            </w:tcBorders>
            <w:vAlign w:val="center"/>
          </w:tcPr>
          <w:p w14:paraId="25293AB7">
            <w:pPr>
              <w:rPr>
                <w:rFonts w:hint="eastAsia"/>
                <w:lang w:eastAsia="zh-CN"/>
              </w:rPr>
            </w:pPr>
            <w:r>
              <w:rPr>
                <w:lang w:eastAsia="zh-CN"/>
              </w:rPr>
              <w:t>各评分因素细分项</w:t>
            </w:r>
          </w:p>
        </w:tc>
        <w:tc>
          <w:tcPr>
            <w:tcW w:w="4480" w:type="dxa"/>
            <w:tcBorders>
              <w:top w:val="single" w:color="auto" w:sz="4" w:space="0"/>
              <w:left w:val="single" w:color="auto" w:sz="4" w:space="0"/>
              <w:bottom w:val="single" w:color="auto" w:sz="4" w:space="0"/>
              <w:right w:val="single" w:color="auto" w:sz="4" w:space="0"/>
            </w:tcBorders>
            <w:vAlign w:val="center"/>
          </w:tcPr>
          <w:p w14:paraId="39BE3D1F">
            <w:pPr>
              <w:rPr>
                <w:rFonts w:hint="eastAsia"/>
                <w:lang w:eastAsia="zh-CN"/>
              </w:rPr>
            </w:pPr>
            <w:r>
              <w:rPr>
                <w:lang w:eastAsia="zh-CN"/>
              </w:rPr>
              <w:t>评分标准</w:t>
            </w:r>
          </w:p>
        </w:tc>
      </w:tr>
      <w:tr w14:paraId="2245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720" w:type="dxa"/>
            <w:gridSpan w:val="5"/>
            <w:tcBorders>
              <w:top w:val="single" w:color="auto" w:sz="4" w:space="0"/>
              <w:left w:val="single" w:color="auto" w:sz="4" w:space="0"/>
              <w:bottom w:val="single" w:color="auto" w:sz="4" w:space="0"/>
              <w:right w:val="single" w:color="auto" w:sz="4" w:space="0"/>
            </w:tcBorders>
            <w:vAlign w:val="center"/>
          </w:tcPr>
          <w:p w14:paraId="54D248F2">
            <w:pPr>
              <w:rPr>
                <w:rFonts w:hint="eastAsia"/>
                <w:lang w:eastAsia="zh-CN"/>
              </w:rPr>
            </w:pPr>
            <w:r>
              <w:rPr>
                <w:lang w:eastAsia="zh-CN"/>
              </w:rPr>
              <w:t>满分100分</w:t>
            </w:r>
          </w:p>
        </w:tc>
      </w:tr>
      <w:tr w14:paraId="79E0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exact"/>
          <w:jc w:val="center"/>
        </w:trPr>
        <w:tc>
          <w:tcPr>
            <w:tcW w:w="977" w:type="dxa"/>
            <w:vMerge w:val="restart"/>
            <w:tcBorders>
              <w:top w:val="single" w:color="auto" w:sz="4" w:space="0"/>
              <w:left w:val="single" w:color="auto" w:sz="4" w:space="0"/>
              <w:bottom w:val="single" w:color="auto" w:sz="4" w:space="0"/>
              <w:right w:val="single" w:color="auto" w:sz="4" w:space="0"/>
            </w:tcBorders>
            <w:vAlign w:val="center"/>
          </w:tcPr>
          <w:p w14:paraId="577204B2">
            <w:pPr>
              <w:rPr>
                <w:rFonts w:hint="eastAsia"/>
                <w:lang w:eastAsia="zh-CN"/>
              </w:rPr>
            </w:pPr>
            <w:r>
              <w:rPr>
                <w:lang w:eastAsia="zh-CN"/>
              </w:rPr>
              <w:t>2.2.</w:t>
            </w:r>
            <w:r>
              <w:rPr>
                <w:rFonts w:hint="eastAsia"/>
                <w:lang w:eastAsia="zh-CN"/>
              </w:rPr>
              <w:t>1</w:t>
            </w:r>
            <w:r>
              <w:rPr>
                <w:lang w:eastAsia="zh-CN"/>
              </w:rPr>
              <w:t>（</w:t>
            </w:r>
            <w:r>
              <w:rPr>
                <w:rFonts w:hint="eastAsia"/>
                <w:lang w:eastAsia="zh-CN"/>
              </w:rPr>
              <w:t>1</w:t>
            </w:r>
            <w:r>
              <w:rPr>
                <w:lang w:eastAsia="zh-CN"/>
              </w:rPr>
              <w:t>）</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4C2B11E1">
            <w:pPr>
              <w:rPr>
                <w:rFonts w:hint="eastAsia"/>
                <w:lang w:eastAsia="zh-CN"/>
              </w:rPr>
            </w:pPr>
            <w:r>
              <w:rPr>
                <w:rFonts w:hint="eastAsia"/>
                <w:lang w:eastAsia="zh-CN"/>
              </w:rPr>
              <w:t>技术部分</w:t>
            </w:r>
            <w:r>
              <w:rPr>
                <w:lang w:eastAsia="zh-CN"/>
              </w:rPr>
              <w:t>（</w:t>
            </w:r>
            <w:r>
              <w:rPr>
                <w:rFonts w:hint="eastAsia"/>
                <w:lang w:eastAsia="zh-CN"/>
              </w:rPr>
              <w:t>80</w:t>
            </w:r>
            <w:r>
              <w:rPr>
                <w:lang w:eastAsia="zh-CN"/>
              </w:rPr>
              <w:t>分）</w:t>
            </w:r>
          </w:p>
        </w:tc>
        <w:tc>
          <w:tcPr>
            <w:tcW w:w="2126" w:type="dxa"/>
            <w:tcBorders>
              <w:top w:val="single" w:color="auto" w:sz="4" w:space="0"/>
              <w:left w:val="single" w:color="auto" w:sz="4" w:space="0"/>
              <w:bottom w:val="single" w:color="auto" w:sz="4" w:space="0"/>
              <w:right w:val="single" w:color="auto" w:sz="4" w:space="0"/>
            </w:tcBorders>
            <w:vAlign w:val="center"/>
          </w:tcPr>
          <w:p w14:paraId="2B59D030">
            <w:pPr>
              <w:rPr>
                <w:rFonts w:hint="eastAsia"/>
                <w:lang w:eastAsia="zh-CN"/>
              </w:rPr>
            </w:pPr>
            <w:r>
              <w:rPr>
                <w:lang w:eastAsia="zh-CN"/>
              </w:rPr>
              <w:t>投标设备整体评价</w:t>
            </w:r>
          </w:p>
        </w:tc>
        <w:tc>
          <w:tcPr>
            <w:tcW w:w="1003" w:type="dxa"/>
            <w:tcBorders>
              <w:top w:val="single" w:color="auto" w:sz="4" w:space="0"/>
              <w:left w:val="single" w:color="auto" w:sz="4" w:space="0"/>
              <w:bottom w:val="single" w:color="auto" w:sz="4" w:space="0"/>
              <w:right w:val="single" w:color="auto" w:sz="4" w:space="0"/>
            </w:tcBorders>
            <w:vAlign w:val="center"/>
          </w:tcPr>
          <w:p w14:paraId="2F94870C">
            <w:pPr>
              <w:rPr>
                <w:rFonts w:hint="eastAsia"/>
                <w:lang w:eastAsia="zh-CN"/>
              </w:rPr>
            </w:pPr>
            <w:r>
              <w:rPr>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700DA761">
            <w:pPr>
              <w:rPr>
                <w:rFonts w:hint="eastAsia"/>
                <w:lang w:eastAsia="zh-CN"/>
              </w:rPr>
            </w:pPr>
            <w:r>
              <w:rPr>
                <w:rFonts w:hint="eastAsia"/>
                <w:lang w:eastAsia="zh-CN"/>
              </w:rPr>
              <w:t>1.设备整体性能优越、功能齐全、完善，自动化水平高，完全满足招标文件要求，得16-20 分；</w:t>
            </w:r>
          </w:p>
          <w:p w14:paraId="56DB3424">
            <w:pPr>
              <w:rPr>
                <w:rFonts w:hint="eastAsia"/>
                <w:lang w:eastAsia="zh-CN"/>
              </w:rPr>
            </w:pPr>
            <w:r>
              <w:rPr>
                <w:rFonts w:hint="eastAsia"/>
                <w:lang w:eastAsia="zh-CN"/>
              </w:rPr>
              <w:t>2.设备整体性能较高、功能较齐全、较完善，自动化水平较高，满足招标文件要求，得12-16 分；</w:t>
            </w:r>
          </w:p>
          <w:p w14:paraId="326C2551">
            <w:pPr>
              <w:rPr>
                <w:rFonts w:hint="eastAsia"/>
                <w:lang w:eastAsia="zh-CN"/>
              </w:rPr>
            </w:pPr>
            <w:r>
              <w:rPr>
                <w:rFonts w:hint="eastAsia"/>
                <w:lang w:eastAsia="zh-CN"/>
              </w:rPr>
              <w:t>3.设备整体性能一般，功能一般，自动化水平一般，基本满足招标文件要求，得12 分。</w:t>
            </w:r>
          </w:p>
        </w:tc>
      </w:tr>
      <w:tr w14:paraId="61D1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2FA5B2E3">
            <w:pPr>
              <w:rPr>
                <w:rFonts w:hint="eastAsia"/>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2CC88C2">
            <w:pPr>
              <w:rPr>
                <w:rFonts w:hint="eastAsia"/>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7BA7293A">
            <w:pPr>
              <w:rPr>
                <w:rFonts w:hint="eastAsia"/>
                <w:lang w:eastAsia="zh-CN"/>
              </w:rPr>
            </w:pPr>
            <w:r>
              <w:rPr>
                <w:rFonts w:hint="eastAsia"/>
                <w:lang w:eastAsia="zh-CN"/>
              </w:rPr>
              <w:t>投标设备技术性能</w:t>
            </w:r>
          </w:p>
          <w:p w14:paraId="56E5A376">
            <w:pPr>
              <w:rPr>
                <w:rFonts w:hint="eastAsia"/>
                <w:lang w:eastAsia="zh-CN"/>
              </w:rPr>
            </w:pPr>
            <w:r>
              <w:rPr>
                <w:rFonts w:hint="eastAsia"/>
                <w:lang w:eastAsia="zh-CN"/>
              </w:rPr>
              <w:t>指标响应程度</w:t>
            </w:r>
          </w:p>
        </w:tc>
        <w:tc>
          <w:tcPr>
            <w:tcW w:w="1003" w:type="dxa"/>
            <w:tcBorders>
              <w:top w:val="single" w:color="auto" w:sz="4" w:space="0"/>
              <w:left w:val="single" w:color="auto" w:sz="4" w:space="0"/>
              <w:bottom w:val="single" w:color="auto" w:sz="4" w:space="0"/>
              <w:right w:val="single" w:color="auto" w:sz="4" w:space="0"/>
            </w:tcBorders>
            <w:vAlign w:val="center"/>
          </w:tcPr>
          <w:p w14:paraId="42BCCD58">
            <w:pPr>
              <w:rPr>
                <w:rFonts w:hint="eastAsia"/>
                <w:lang w:eastAsia="zh-CN"/>
              </w:rPr>
            </w:pPr>
            <w:r>
              <w:rPr>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601E7CE3">
            <w:pPr>
              <w:rPr>
                <w:rFonts w:hint="eastAsia"/>
                <w:lang w:eastAsia="zh-CN"/>
              </w:rPr>
            </w:pPr>
            <w:r>
              <w:rPr>
                <w:lang w:eastAsia="zh-CN"/>
              </w:rPr>
              <w:t>1.</w:t>
            </w:r>
            <w:r>
              <w:rPr>
                <w:rFonts w:hint="eastAsia"/>
                <w:lang w:eastAsia="zh-CN"/>
              </w:rPr>
              <w:t>投标产品选型合理，主要组成部件的技术性能参数及功能参数指标高，</w:t>
            </w:r>
          </w:p>
          <w:p w14:paraId="0CA9FB17">
            <w:pPr>
              <w:rPr>
                <w:rFonts w:hint="eastAsia"/>
                <w:lang w:eastAsia="zh-CN"/>
              </w:rPr>
            </w:pPr>
            <w:r>
              <w:rPr>
                <w:rFonts w:hint="eastAsia"/>
                <w:lang w:eastAsia="zh-CN"/>
              </w:rPr>
              <w:t>实用性强、产品设计科学合理、质量可靠，得</w:t>
            </w:r>
            <w:r>
              <w:rPr>
                <w:lang w:eastAsia="zh-CN"/>
              </w:rPr>
              <w:t xml:space="preserve">16-20 </w:t>
            </w:r>
            <w:r>
              <w:rPr>
                <w:rFonts w:hint="eastAsia"/>
                <w:lang w:eastAsia="zh-CN"/>
              </w:rPr>
              <w:t>分；</w:t>
            </w:r>
          </w:p>
          <w:p w14:paraId="70126709">
            <w:pPr>
              <w:rPr>
                <w:rFonts w:hint="eastAsia"/>
                <w:lang w:eastAsia="zh-CN"/>
              </w:rPr>
            </w:pPr>
            <w:r>
              <w:rPr>
                <w:lang w:eastAsia="zh-CN"/>
              </w:rPr>
              <w:t>2.</w:t>
            </w:r>
            <w:r>
              <w:rPr>
                <w:rFonts w:hint="eastAsia"/>
                <w:lang w:eastAsia="zh-CN"/>
              </w:rPr>
              <w:t>投标产品选型较合理，主要组成部件的技术性能参数及功能参数指标</w:t>
            </w:r>
          </w:p>
          <w:p w14:paraId="0D07C1A1">
            <w:pPr>
              <w:rPr>
                <w:rFonts w:hint="eastAsia"/>
                <w:lang w:eastAsia="zh-CN"/>
              </w:rPr>
            </w:pPr>
            <w:r>
              <w:rPr>
                <w:rFonts w:hint="eastAsia"/>
                <w:lang w:eastAsia="zh-CN"/>
              </w:rPr>
              <w:t>较高，实用性较强、产品设计较合理、质量较可靠，得</w:t>
            </w:r>
            <w:r>
              <w:rPr>
                <w:lang w:eastAsia="zh-CN"/>
              </w:rPr>
              <w:t xml:space="preserve">12-16 </w:t>
            </w:r>
            <w:r>
              <w:rPr>
                <w:rFonts w:hint="eastAsia"/>
                <w:lang w:eastAsia="zh-CN"/>
              </w:rPr>
              <w:t>分；</w:t>
            </w:r>
          </w:p>
          <w:p w14:paraId="7D9BEC9D">
            <w:pPr>
              <w:rPr>
                <w:rFonts w:hint="eastAsia"/>
                <w:lang w:eastAsia="zh-CN"/>
              </w:rPr>
            </w:pPr>
            <w:r>
              <w:rPr>
                <w:lang w:eastAsia="zh-CN"/>
              </w:rPr>
              <w:t>3.</w:t>
            </w:r>
            <w:r>
              <w:rPr>
                <w:rFonts w:hint="eastAsia"/>
                <w:lang w:eastAsia="zh-CN"/>
              </w:rPr>
              <w:t>投标产品选型一般，主要组成部件的技术性能参数及功能参数指标一般，实用性一般、产品设计一般、质量一般，得</w:t>
            </w:r>
            <w:r>
              <w:rPr>
                <w:lang w:eastAsia="zh-CN"/>
              </w:rPr>
              <w:t xml:space="preserve">12 </w:t>
            </w:r>
            <w:r>
              <w:rPr>
                <w:rFonts w:hint="eastAsia"/>
                <w:lang w:eastAsia="zh-CN"/>
              </w:rPr>
              <w:t>分。</w:t>
            </w:r>
          </w:p>
        </w:tc>
      </w:tr>
      <w:tr w14:paraId="2959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35801C26">
            <w:pPr>
              <w:rPr>
                <w:rFonts w:hint="eastAsia"/>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EC4BCAB">
            <w:pPr>
              <w:rPr>
                <w:rFonts w:hint="eastAsia"/>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2C869DF3">
            <w:pPr>
              <w:rPr>
                <w:rFonts w:hint="eastAsia"/>
                <w:lang w:eastAsia="zh-CN"/>
              </w:rPr>
            </w:pPr>
            <w:r>
              <w:rPr>
                <w:rFonts w:hint="eastAsia"/>
                <w:lang w:eastAsia="zh-CN"/>
              </w:rPr>
              <w:t>供货能力及进度保</w:t>
            </w:r>
          </w:p>
          <w:p w14:paraId="43664519">
            <w:pPr>
              <w:rPr>
                <w:rFonts w:hint="eastAsia"/>
                <w:lang w:eastAsia="zh-CN"/>
              </w:rPr>
            </w:pPr>
            <w:r>
              <w:rPr>
                <w:rFonts w:hint="eastAsia"/>
                <w:lang w:eastAsia="zh-CN"/>
              </w:rPr>
              <w:t>障</w:t>
            </w:r>
          </w:p>
        </w:tc>
        <w:tc>
          <w:tcPr>
            <w:tcW w:w="1003" w:type="dxa"/>
            <w:tcBorders>
              <w:top w:val="single" w:color="auto" w:sz="4" w:space="0"/>
              <w:left w:val="single" w:color="auto" w:sz="4" w:space="0"/>
              <w:bottom w:val="single" w:color="auto" w:sz="4" w:space="0"/>
              <w:right w:val="single" w:color="auto" w:sz="4" w:space="0"/>
            </w:tcBorders>
            <w:vAlign w:val="center"/>
          </w:tcPr>
          <w:p w14:paraId="4575B768">
            <w:pPr>
              <w:rPr>
                <w:rFonts w:hint="eastAsia"/>
                <w:lang w:eastAsia="zh-CN"/>
              </w:rPr>
            </w:pPr>
            <w:r>
              <w:rPr>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5009FD20">
            <w:pPr>
              <w:rPr>
                <w:rFonts w:hint="eastAsia"/>
                <w:lang w:eastAsia="zh-CN"/>
              </w:rPr>
            </w:pPr>
            <w:r>
              <w:rPr>
                <w:rFonts w:hint="eastAsia"/>
                <w:lang w:eastAsia="zh-CN"/>
              </w:rPr>
              <w:t>1.投标人提供的供货方案切实可行、供货能力强、交货进度有保障、能够保质保量的完成供货，针对供货过程中的特殊情况有预案，得16-20 分；</w:t>
            </w:r>
          </w:p>
          <w:p w14:paraId="2A40A77E">
            <w:pPr>
              <w:rPr>
                <w:rFonts w:hint="eastAsia"/>
                <w:lang w:eastAsia="zh-CN"/>
              </w:rPr>
            </w:pPr>
            <w:r>
              <w:rPr>
                <w:rFonts w:hint="eastAsia"/>
                <w:lang w:eastAsia="zh-CN"/>
              </w:rPr>
              <w:t>2.投标人提供的供货方案可行、供货能力较强、交货进度满足招标文件要求，得12-16 分；</w:t>
            </w:r>
          </w:p>
          <w:p w14:paraId="0D6651B6">
            <w:pPr>
              <w:rPr>
                <w:rFonts w:hint="eastAsia"/>
                <w:lang w:eastAsia="zh-CN"/>
              </w:rPr>
            </w:pPr>
            <w:r>
              <w:rPr>
                <w:rFonts w:hint="eastAsia"/>
                <w:lang w:eastAsia="zh-CN"/>
              </w:rPr>
              <w:t>3.投标人提供的供货方案一般、供货能力一般、交货进度基本满足招标文件要求，得12 分。</w:t>
            </w:r>
          </w:p>
        </w:tc>
      </w:tr>
      <w:tr w14:paraId="6C92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66629FA5">
            <w:pPr>
              <w:rPr>
                <w:rFonts w:hint="eastAsia"/>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0937C18">
            <w:pPr>
              <w:rPr>
                <w:rFonts w:hint="eastAsia"/>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650C87EC">
            <w:pPr>
              <w:rPr>
                <w:rFonts w:hint="eastAsia"/>
                <w:lang w:eastAsia="zh-CN"/>
              </w:rPr>
            </w:pPr>
            <w:r>
              <w:rPr>
                <w:rFonts w:hint="eastAsia"/>
                <w:lang w:eastAsia="zh-CN"/>
              </w:rPr>
              <w:t>技术服务及质保期</w:t>
            </w:r>
          </w:p>
          <w:p w14:paraId="2CC75575">
            <w:pPr>
              <w:rPr>
                <w:rFonts w:hint="eastAsia"/>
                <w:lang w:eastAsia="zh-CN"/>
              </w:rPr>
            </w:pPr>
            <w:r>
              <w:rPr>
                <w:rFonts w:hint="eastAsia"/>
                <w:lang w:eastAsia="zh-CN"/>
              </w:rPr>
              <w:t>服务</w:t>
            </w:r>
          </w:p>
        </w:tc>
        <w:tc>
          <w:tcPr>
            <w:tcW w:w="1003" w:type="dxa"/>
            <w:tcBorders>
              <w:top w:val="single" w:color="auto" w:sz="4" w:space="0"/>
              <w:left w:val="single" w:color="auto" w:sz="4" w:space="0"/>
              <w:bottom w:val="single" w:color="auto" w:sz="4" w:space="0"/>
              <w:right w:val="single" w:color="auto" w:sz="4" w:space="0"/>
            </w:tcBorders>
            <w:vAlign w:val="center"/>
          </w:tcPr>
          <w:p w14:paraId="7626327B">
            <w:pPr>
              <w:rPr>
                <w:rFonts w:hint="eastAsia"/>
                <w:lang w:eastAsia="zh-CN"/>
              </w:rPr>
            </w:pPr>
            <w:r>
              <w:rPr>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326B95BD">
            <w:pPr>
              <w:rPr>
                <w:rFonts w:hint="eastAsia"/>
                <w:lang w:eastAsia="zh-CN"/>
              </w:rPr>
            </w:pPr>
            <w:r>
              <w:rPr>
                <w:rFonts w:hint="eastAsia"/>
                <w:lang w:eastAsia="zh-CN"/>
              </w:rPr>
              <w:t>服务方案切实可行，针对性强，服务体系完善，得16-20 分；</w:t>
            </w:r>
          </w:p>
          <w:p w14:paraId="645C53A4">
            <w:pPr>
              <w:rPr>
                <w:rFonts w:hint="eastAsia"/>
                <w:lang w:eastAsia="zh-CN"/>
              </w:rPr>
            </w:pPr>
            <w:r>
              <w:rPr>
                <w:rFonts w:hint="eastAsia"/>
                <w:lang w:eastAsia="zh-CN"/>
              </w:rPr>
              <w:t>服务方案较切实可行，针对性较强，服务体系较完善，得12-16 分；</w:t>
            </w:r>
          </w:p>
          <w:p w14:paraId="4501AE91">
            <w:pPr>
              <w:rPr>
                <w:rFonts w:hint="eastAsia"/>
                <w:lang w:eastAsia="zh-CN"/>
              </w:rPr>
            </w:pPr>
            <w:r>
              <w:rPr>
                <w:rFonts w:hint="eastAsia"/>
                <w:lang w:eastAsia="zh-CN"/>
              </w:rPr>
              <w:t>服务方案基本可行，服务体系基本完善，得12 分；</w:t>
            </w:r>
          </w:p>
        </w:tc>
      </w:tr>
      <w:tr w14:paraId="6D2E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exact"/>
          <w:jc w:val="center"/>
        </w:trPr>
        <w:tc>
          <w:tcPr>
            <w:tcW w:w="977" w:type="dxa"/>
            <w:tcBorders>
              <w:top w:val="single" w:color="auto" w:sz="4" w:space="0"/>
              <w:left w:val="single" w:color="auto" w:sz="4" w:space="0"/>
              <w:bottom w:val="single" w:color="auto" w:sz="4" w:space="0"/>
              <w:right w:val="single" w:color="auto" w:sz="4" w:space="0"/>
            </w:tcBorders>
            <w:vAlign w:val="center"/>
          </w:tcPr>
          <w:p w14:paraId="57786FBA">
            <w:pPr>
              <w:rPr>
                <w:rFonts w:hint="eastAsia"/>
                <w:lang w:eastAsia="zh-CN"/>
              </w:rPr>
            </w:pPr>
            <w:r>
              <w:rPr>
                <w:lang w:eastAsia="zh-CN"/>
              </w:rPr>
              <w:t>2.2.</w:t>
            </w:r>
            <w:r>
              <w:rPr>
                <w:rFonts w:hint="eastAsia"/>
                <w:lang w:eastAsia="zh-CN"/>
              </w:rPr>
              <w:t>1</w:t>
            </w:r>
            <w:r>
              <w:rPr>
                <w:lang w:eastAsia="zh-CN"/>
              </w:rPr>
              <w:t>（</w:t>
            </w:r>
            <w:r>
              <w:rPr>
                <w:rFonts w:hint="eastAsia"/>
                <w:lang w:eastAsia="zh-CN"/>
              </w:rPr>
              <w:t>2</w:t>
            </w:r>
            <w:r>
              <w:rPr>
                <w:lang w:eastAsia="zh-CN"/>
              </w:rPr>
              <w:t>）</w:t>
            </w:r>
          </w:p>
        </w:tc>
        <w:tc>
          <w:tcPr>
            <w:tcW w:w="1134" w:type="dxa"/>
            <w:tcBorders>
              <w:top w:val="single" w:color="auto" w:sz="4" w:space="0"/>
              <w:left w:val="single" w:color="auto" w:sz="4" w:space="0"/>
              <w:bottom w:val="single" w:color="auto" w:sz="4" w:space="0"/>
              <w:right w:val="single" w:color="auto" w:sz="4" w:space="0"/>
            </w:tcBorders>
            <w:vAlign w:val="center"/>
          </w:tcPr>
          <w:p w14:paraId="4263109B">
            <w:pPr>
              <w:rPr>
                <w:rFonts w:hint="eastAsia"/>
                <w:lang w:eastAsia="zh-CN"/>
              </w:rPr>
            </w:pPr>
            <w:r>
              <w:rPr>
                <w:lang w:eastAsia="zh-CN"/>
              </w:rPr>
              <w:t>业绩（</w:t>
            </w:r>
            <w:r>
              <w:rPr>
                <w:rFonts w:hint="eastAsia"/>
                <w:lang w:eastAsia="zh-CN"/>
              </w:rPr>
              <w:t>2</w:t>
            </w:r>
            <w:r>
              <w:rPr>
                <w:lang w:eastAsia="zh-CN"/>
              </w:rPr>
              <w:t>0分）</w:t>
            </w:r>
          </w:p>
        </w:tc>
        <w:tc>
          <w:tcPr>
            <w:tcW w:w="2126" w:type="dxa"/>
            <w:tcBorders>
              <w:top w:val="single" w:color="auto" w:sz="4" w:space="0"/>
              <w:left w:val="single" w:color="auto" w:sz="4" w:space="0"/>
              <w:bottom w:val="single" w:color="auto" w:sz="4" w:space="0"/>
              <w:right w:val="single" w:color="auto" w:sz="4" w:space="0"/>
            </w:tcBorders>
            <w:vAlign w:val="center"/>
          </w:tcPr>
          <w:p w14:paraId="6D80E292">
            <w:pPr>
              <w:rPr>
                <w:rFonts w:hint="eastAsia"/>
                <w:lang w:eastAsia="zh-CN"/>
              </w:rPr>
            </w:pPr>
            <w:r>
              <w:rPr>
                <w:lang w:eastAsia="zh-CN"/>
              </w:rPr>
              <w:t>单位业绩</w:t>
            </w:r>
          </w:p>
        </w:tc>
        <w:tc>
          <w:tcPr>
            <w:tcW w:w="1003" w:type="dxa"/>
            <w:tcBorders>
              <w:top w:val="single" w:color="auto" w:sz="4" w:space="0"/>
              <w:left w:val="single" w:color="auto" w:sz="4" w:space="0"/>
              <w:bottom w:val="single" w:color="auto" w:sz="4" w:space="0"/>
              <w:right w:val="single" w:color="auto" w:sz="4" w:space="0"/>
            </w:tcBorders>
            <w:vAlign w:val="center"/>
          </w:tcPr>
          <w:p w14:paraId="0480FA32">
            <w:pPr>
              <w:rPr>
                <w:rFonts w:hint="eastAsia"/>
                <w:lang w:eastAsia="zh-CN"/>
              </w:rPr>
            </w:pPr>
            <w:r>
              <w:rPr>
                <w:rFonts w:hint="eastAsia"/>
                <w:lang w:eastAsia="zh-CN"/>
              </w:rPr>
              <w:t>2</w:t>
            </w:r>
            <w:r>
              <w:rPr>
                <w:lang w:eastAsia="zh-CN"/>
              </w:rPr>
              <w:t>0分</w:t>
            </w:r>
          </w:p>
        </w:tc>
        <w:tc>
          <w:tcPr>
            <w:tcW w:w="4480" w:type="dxa"/>
            <w:tcBorders>
              <w:top w:val="single" w:color="auto" w:sz="4" w:space="0"/>
              <w:left w:val="single" w:color="auto" w:sz="4" w:space="0"/>
              <w:bottom w:val="single" w:color="auto" w:sz="4" w:space="0"/>
              <w:right w:val="single" w:color="auto" w:sz="4" w:space="0"/>
            </w:tcBorders>
            <w:vAlign w:val="center"/>
          </w:tcPr>
          <w:p w14:paraId="630B0D14">
            <w:pPr>
              <w:rPr>
                <w:rFonts w:hint="eastAsia"/>
                <w:lang w:eastAsia="zh-CN"/>
              </w:rPr>
            </w:pPr>
            <w:r>
              <w:rPr>
                <w:lang w:eastAsia="zh-CN"/>
              </w:rPr>
              <w:t>满足附录3资格审查条件(业绩最低要求)得1</w:t>
            </w:r>
            <w:r>
              <w:rPr>
                <w:rFonts w:hint="eastAsia"/>
                <w:lang w:eastAsia="zh-CN"/>
              </w:rPr>
              <w:t>2</w:t>
            </w:r>
            <w:r>
              <w:rPr>
                <w:lang w:eastAsia="zh-CN"/>
              </w:rPr>
              <w:t>分；</w:t>
            </w:r>
          </w:p>
          <w:p w14:paraId="3A01ABF5">
            <w:pPr>
              <w:rPr>
                <w:rFonts w:hint="eastAsia"/>
                <w:lang w:eastAsia="zh-CN"/>
              </w:rPr>
            </w:pPr>
            <w:r>
              <w:rPr>
                <w:lang w:eastAsia="zh-CN"/>
              </w:rPr>
              <w:t>每增加1项满足资格审查条件（业绩最低要求）的业绩加</w:t>
            </w:r>
            <w:r>
              <w:rPr>
                <w:rFonts w:hint="eastAsia"/>
                <w:lang w:eastAsia="zh-CN"/>
              </w:rPr>
              <w:t>4</w:t>
            </w:r>
            <w:r>
              <w:rPr>
                <w:lang w:eastAsia="zh-CN"/>
              </w:rPr>
              <w:t>分，本项最高加</w:t>
            </w:r>
            <w:r>
              <w:rPr>
                <w:rFonts w:hint="eastAsia"/>
                <w:lang w:eastAsia="zh-CN"/>
              </w:rPr>
              <w:t>8</w:t>
            </w:r>
            <w:r>
              <w:rPr>
                <w:lang w:eastAsia="zh-CN"/>
              </w:rPr>
              <w:t>分。</w:t>
            </w:r>
          </w:p>
        </w:tc>
      </w:tr>
      <w:tr w14:paraId="6E46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exact"/>
          <w:jc w:val="center"/>
        </w:trPr>
        <w:tc>
          <w:tcPr>
            <w:tcW w:w="977" w:type="dxa"/>
            <w:tcBorders>
              <w:top w:val="single" w:color="auto" w:sz="4" w:space="0"/>
              <w:left w:val="single" w:color="auto" w:sz="4" w:space="0"/>
              <w:bottom w:val="single" w:color="auto" w:sz="4" w:space="0"/>
              <w:right w:val="single" w:color="auto" w:sz="4" w:space="0"/>
            </w:tcBorders>
            <w:vAlign w:val="center"/>
          </w:tcPr>
          <w:p w14:paraId="2FF7E75A">
            <w:pPr>
              <w:rPr>
                <w:rFonts w:hint="eastAsia"/>
                <w:lang w:eastAsia="zh-CN"/>
              </w:rPr>
            </w:pPr>
            <w:r>
              <w:rPr>
                <w:lang w:eastAsia="zh-CN"/>
              </w:rPr>
              <w:t>2.2.</w:t>
            </w:r>
            <w:r>
              <w:rPr>
                <w:rFonts w:hint="eastAsia"/>
                <w:lang w:eastAsia="zh-CN"/>
              </w:rPr>
              <w:t>1</w:t>
            </w:r>
          </w:p>
          <w:p w14:paraId="5473443B">
            <w:pPr>
              <w:rPr>
                <w:rFonts w:hint="eastAsia"/>
                <w:lang w:eastAsia="zh-CN"/>
              </w:rPr>
            </w:pPr>
            <w:r>
              <w:rPr>
                <w:lang w:eastAsia="zh-CN"/>
              </w:rPr>
              <w:t>(3)</w:t>
            </w:r>
          </w:p>
        </w:tc>
        <w:tc>
          <w:tcPr>
            <w:tcW w:w="1134" w:type="dxa"/>
            <w:tcBorders>
              <w:top w:val="single" w:color="auto" w:sz="4" w:space="0"/>
              <w:left w:val="single" w:color="auto" w:sz="4" w:space="0"/>
              <w:bottom w:val="single" w:color="auto" w:sz="4" w:space="0"/>
              <w:right w:val="single" w:color="auto" w:sz="4" w:space="0"/>
            </w:tcBorders>
            <w:vAlign w:val="center"/>
          </w:tcPr>
          <w:p w14:paraId="650D71C9">
            <w:pPr>
              <w:rPr>
                <w:rFonts w:hint="eastAsia"/>
                <w:lang w:eastAsia="zh-CN"/>
              </w:rPr>
            </w:pPr>
            <w:r>
              <w:rPr>
                <w:rFonts w:hint="eastAsia"/>
                <w:lang w:eastAsia="zh-CN"/>
              </w:rPr>
              <w:t>其他评分因素</w:t>
            </w:r>
          </w:p>
        </w:tc>
        <w:tc>
          <w:tcPr>
            <w:tcW w:w="7609" w:type="dxa"/>
            <w:gridSpan w:val="3"/>
            <w:tcBorders>
              <w:top w:val="single" w:color="auto" w:sz="4" w:space="0"/>
              <w:left w:val="single" w:color="auto" w:sz="4" w:space="0"/>
              <w:bottom w:val="single" w:color="auto" w:sz="4" w:space="0"/>
              <w:right w:val="single" w:color="auto" w:sz="4" w:space="0"/>
            </w:tcBorders>
            <w:vAlign w:val="center"/>
          </w:tcPr>
          <w:p w14:paraId="4FD30A81">
            <w:pPr>
              <w:rPr>
                <w:rFonts w:hint="eastAsia"/>
                <w:lang w:eastAsia="zh-CN"/>
              </w:rPr>
            </w:pPr>
            <w:r>
              <w:rPr>
                <w:lang w:eastAsia="zh-CN"/>
              </w:rPr>
              <w:t>无</w:t>
            </w:r>
          </w:p>
        </w:tc>
      </w:tr>
    </w:tbl>
    <w:p w14:paraId="2E0937D5">
      <w:pPr>
        <w:rPr>
          <w:rFonts w:hint="eastAsia"/>
          <w:lang w:eastAsia="zh-CN"/>
        </w:rPr>
      </w:pPr>
      <w:r>
        <w:rPr>
          <w:rFonts w:hint="eastAsia"/>
          <w:lang w:eastAsia="zh-CN"/>
        </w:rPr>
        <w:t>注：</w:t>
      </w:r>
    </w:p>
    <w:p w14:paraId="32AFA58B">
      <w:pPr>
        <w:rPr>
          <w:rFonts w:hint="eastAsia"/>
          <w:lang w:eastAsia="zh-CN"/>
        </w:rPr>
      </w:pPr>
      <w:r>
        <w:rPr>
          <w:lang w:eastAsia="zh-CN"/>
        </w:rPr>
        <w:t>1</w:t>
      </w:r>
      <w:r>
        <w:rPr>
          <w:rFonts w:hint="eastAsia"/>
          <w:lang w:eastAsia="zh-CN"/>
        </w:rPr>
        <w:t>、评委打分保留</w:t>
      </w:r>
      <w:r>
        <w:rPr>
          <w:lang w:eastAsia="zh-CN"/>
        </w:rPr>
        <w:t xml:space="preserve">1 </w:t>
      </w:r>
      <w:r>
        <w:rPr>
          <w:rFonts w:hint="eastAsia"/>
          <w:lang w:eastAsia="zh-CN"/>
        </w:rPr>
        <w:t>位小数，各评分因素得分应以评标委员会各成员的打分平均值确定，保留两位小数，第三位四舍五入。</w:t>
      </w:r>
    </w:p>
    <w:p w14:paraId="176EA40F">
      <w:pPr>
        <w:rPr>
          <w:rFonts w:hint="eastAsia"/>
          <w:lang w:eastAsia="zh-CN"/>
        </w:rPr>
      </w:pPr>
      <w:r>
        <w:rPr>
          <w:lang w:eastAsia="zh-CN"/>
        </w:rPr>
        <w:t>2</w:t>
      </w:r>
      <w:r>
        <w:rPr>
          <w:rFonts w:hint="eastAsia"/>
          <w:lang w:eastAsia="zh-CN"/>
        </w:rPr>
        <w:t>、第</w:t>
      </w:r>
      <w:r>
        <w:rPr>
          <w:lang w:eastAsia="zh-CN"/>
        </w:rPr>
        <w:t>2.2.1</w:t>
      </w:r>
      <w:r>
        <w:rPr>
          <w:rFonts w:hint="eastAsia"/>
          <w:lang w:eastAsia="zh-CN"/>
        </w:rPr>
        <w:t>（</w:t>
      </w:r>
      <w:r>
        <w:rPr>
          <w:lang w:eastAsia="zh-CN"/>
        </w:rPr>
        <w:t>2</w:t>
      </w:r>
      <w:r>
        <w:rPr>
          <w:rFonts w:hint="eastAsia"/>
          <w:lang w:eastAsia="zh-CN"/>
        </w:rPr>
        <w:t>）项评标委员会成员对某一项评分因素的评分低于权重分值</w:t>
      </w:r>
      <w:r>
        <w:rPr>
          <w:lang w:eastAsia="zh-CN"/>
        </w:rPr>
        <w:t>60%</w:t>
      </w:r>
      <w:r>
        <w:rPr>
          <w:rFonts w:hint="eastAsia"/>
          <w:lang w:eastAsia="zh-CN"/>
        </w:rPr>
        <w:t>的，应在评标报告中作出说明。评审因素细分项缺项则该项得</w:t>
      </w:r>
      <w:r>
        <w:rPr>
          <w:lang w:eastAsia="zh-CN"/>
        </w:rPr>
        <w:t xml:space="preserve">0 </w:t>
      </w:r>
      <w:r>
        <w:rPr>
          <w:rFonts w:hint="eastAsia"/>
          <w:lang w:eastAsia="zh-CN"/>
        </w:rPr>
        <w:t>分。</w:t>
      </w:r>
    </w:p>
    <w:bookmarkEnd w:id="2"/>
    <w:bookmarkEnd w:id="4"/>
    <w:p w14:paraId="225AB563"/>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175DC">
    <w:pPr>
      <w:spacing w:line="14" w:lineRule="auto"/>
      <w:rPr>
        <w:sz w:val="20"/>
        <w:szCs w:val="20"/>
      </w:rPr>
    </w:pPr>
    <w:r>
      <mc:AlternateContent>
        <mc:Choice Requires="wps">
          <w:drawing>
            <wp:anchor distT="0" distB="0" distL="114300" distR="114300" simplePos="0" relativeHeight="251659264"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1213148679"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0476F441">
                          <w:pPr>
                            <w:spacing w:line="203" w:lineRule="exact"/>
                            <w:ind w:left="40"/>
                            <w:rPr>
                              <w:rFonts w:eastAsia="Calibri" w:cs="Calibri"/>
                              <w:sz w:val="18"/>
                              <w:szCs w:val="18"/>
                            </w:rPr>
                          </w:pPr>
                          <w:r>
                            <w:fldChar w:fldCharType="begin"/>
                          </w:r>
                          <w:r>
                            <w:rPr>
                              <w:sz w:val="18"/>
                            </w:rPr>
                            <w:instrText xml:space="preserve"> PAGE </w:instrText>
                          </w:r>
                          <w:r>
                            <w:fldChar w:fldCharType="separate"/>
                          </w:r>
                          <w:r>
                            <w:rPr>
                              <w:sz w:val="18"/>
                              <w:lang w:eastAsia="zh-CN"/>
                            </w:rPr>
                            <w:t>25</w:t>
                          </w:r>
                          <w:r>
                            <w:fldChar w:fldCharType="end"/>
                          </w:r>
                        </w:p>
                      </w:txbxContent>
                    </wps:txbx>
                    <wps:bodyPr rot="0" vert="horz" wrap="square" lIns="0" tIns="0" rIns="0" bIns="0" anchor="t" anchorCtr="0" upright="1">
                      <a:noAutofit/>
                    </wps:bodyPr>
                  </wps:wsp>
                </a:graphicData>
              </a:graphic>
            </wp:anchor>
          </w:drawing>
        </mc:Choice>
        <mc:Fallback>
          <w:pict>
            <v:shape id="文本框 18" o:spid="_x0000_s1026" o:spt="202" type="#_x0000_t202" style="position:absolute;left:0pt;margin-left:299.5pt;margin-top:734.95pt;height:11pt;width:13.15pt;mso-position-horizontal-relative:page;mso-position-vertical-relative:page;z-index:-251657216;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ERKVNoAAAANAQAADwAA&#10;AAAAAAABACAAAAAiAAAAZHJzL2Rvd25yZXYueG1sUEsBAhQAFAAAAAgAh07iQPeHuTIUAgAADgQA&#10;AA4AAAAAAAAAAQAgAAAAKQEAAGRycy9lMm9Eb2MueG1sUEsFBgAAAAAGAAYAWQEAAK8FAAAAAA==&#10;">
              <v:fill on="f" focussize="0,0"/>
              <v:stroke on="f"/>
              <v:imagedata o:title=""/>
              <o:lock v:ext="edit" aspectratio="f"/>
              <v:textbox inset="0mm,0mm,0mm,0mm">
                <w:txbxContent>
                  <w:p w14:paraId="0476F441">
                    <w:pPr>
                      <w:spacing w:line="203" w:lineRule="exact"/>
                      <w:ind w:left="40"/>
                      <w:rPr>
                        <w:rFonts w:eastAsia="Calibri" w:cs="Calibri"/>
                        <w:sz w:val="18"/>
                        <w:szCs w:val="18"/>
                      </w:rPr>
                    </w:pPr>
                    <w:r>
                      <w:fldChar w:fldCharType="begin"/>
                    </w:r>
                    <w:r>
                      <w:rPr>
                        <w:sz w:val="18"/>
                      </w:rPr>
                      <w:instrText xml:space="preserve"> PAGE </w:instrText>
                    </w:r>
                    <w:r>
                      <w:fldChar w:fldCharType="separate"/>
                    </w:r>
                    <w:r>
                      <w:rPr>
                        <w:sz w:val="18"/>
                        <w:lang w:eastAsia="zh-CN"/>
                      </w:rPr>
                      <w:t>25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CB03AC"/>
    <w:rsid w:val="67243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paragraph" w:styleId="2">
    <w:name w:val="heading 1"/>
    <w:next w:val="1"/>
    <w:qFormat/>
    <w:uiPriority w:val="0"/>
    <w:pPr>
      <w:wordWrap w:val="0"/>
      <w:spacing w:after="160"/>
      <w:jc w:val="both"/>
      <w:outlineLvl w:val="0"/>
    </w:pPr>
    <w:rPr>
      <w:rFonts w:ascii="宋体" w:hAnsi="宋体" w:eastAsia="宋体" w:cs="宋体"/>
      <w:sz w:val="28"/>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99"/>
    <w:pPr>
      <w:ind w:left="100"/>
    </w:pPr>
    <w:rPr>
      <w:rFonts w:ascii="宋体" w:hAnsi="宋体"/>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198</Words>
  <Characters>200</Characters>
  <Lines>0</Lines>
  <Paragraphs>0</Paragraphs>
  <TotalTime>0</TotalTime>
  <ScaleCrop>false</ScaleCrop>
  <LinksUpToDate>false</LinksUpToDate>
  <CharactersWithSpaces>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2026-10-29T08:50:00Z</dcterms:created>
  <dc:creator>交通频道</dc:creator>
  <cp:lastModifiedBy>张静波</cp:lastModifiedBy>
  <dcterms:modified xsi:type="dcterms:W3CDTF">2026-10-29T08:58:25Z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eyJoZGlkIjoiNWI1ZTkxY2ZjNDMxNTU0N2YwYzQyMjA3N2QwNWYwOWQiLCJ1c2VySWQiOiIxNDYxNzkxMjU2In0=</vt:lpwstr>
  </property>
  <property fmtid="{D5CDD505-2E9C-101B-9397-08002B2CF9AE}" pid="4" name="ICV">
    <vt:lpwstr>3F47A0B68B184D64A3DAAF3A6955316F_12</vt:lpwstr>
  </property>
</Properties>
</file>